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D" w:rsidRPr="0033162F" w:rsidRDefault="00092A9D" w:rsidP="00092A9D">
      <w:pPr>
        <w:tabs>
          <w:tab w:val="left" w:pos="6015"/>
        </w:tabs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0" t="0" r="0" b="0"/>
            <wp:docPr id="11" name="Рисунок 1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F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Контрольно-счетная комиссия</w:t>
      </w: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F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городского округа город Михайловка</w:t>
      </w: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A03FF3">
        <w:rPr>
          <w:rFonts w:ascii="Times New Roman" w:eastAsia="Calibri" w:hAnsi="Times New Roman" w:cs="Times New Roman"/>
          <w:b/>
          <w:lang w:eastAsia="ar-SA"/>
        </w:rPr>
        <w:t>Волгоградской области</w:t>
      </w:r>
    </w:p>
    <w:p w:rsidR="008600F7" w:rsidRPr="00A03FF3" w:rsidRDefault="008600F7" w:rsidP="00092A9D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03F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ЗАКЛЮЧЕНИЕ</w:t>
      </w:r>
    </w:p>
    <w:p w:rsidR="00092A9D" w:rsidRPr="00A03FF3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A9D" w:rsidRPr="00AC7084" w:rsidRDefault="00C92089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C7084">
        <w:rPr>
          <w:rFonts w:ascii="Times New Roman" w:eastAsia="Calibri" w:hAnsi="Times New Roman" w:cs="Calibri"/>
          <w:sz w:val="24"/>
          <w:szCs w:val="24"/>
          <w:lang w:eastAsia="ar-SA"/>
        </w:rPr>
        <w:t>№</w:t>
      </w:r>
      <w:r w:rsidR="00AE766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6</w:t>
      </w:r>
      <w:r w:rsidRPr="00AC708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AC7084" w:rsidRPr="00AC708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- 2</w:t>
      </w:r>
      <w:r w:rsidR="0041263F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="003A15A6" w:rsidRPr="00AC7084">
        <w:rPr>
          <w:rFonts w:ascii="Times New Roman" w:eastAsia="Calibri" w:hAnsi="Times New Roman" w:cs="Calibri"/>
          <w:sz w:val="24"/>
          <w:szCs w:val="24"/>
          <w:lang w:eastAsia="ar-SA"/>
        </w:rPr>
        <w:t>/04/20</w:t>
      </w:r>
      <w:r w:rsidR="0072406C" w:rsidRPr="00AC7084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41263F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092A9D" w:rsidRPr="00AC708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</w:t>
      </w:r>
      <w:r w:rsidR="00092A9D" w:rsidRPr="00AC7084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:rsidR="00092A9D" w:rsidRPr="000859B4" w:rsidRDefault="00092A9D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color w:val="C00000"/>
          <w:sz w:val="24"/>
          <w:szCs w:val="24"/>
          <w:lang w:eastAsia="ar-SA"/>
        </w:rPr>
      </w:pPr>
    </w:p>
    <w:p w:rsidR="00092A9D" w:rsidRPr="00425BF2" w:rsidRDefault="00092A9D" w:rsidP="008600F7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 проекту решения Михайловской городской Думы «Об исполнении бюджета городского округа город Михайловка </w:t>
      </w:r>
      <w:r w:rsidR="00C7525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Волгоградской области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за 20</w:t>
      </w:r>
      <w:r w:rsidR="000859B4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41263F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год».</w:t>
      </w: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планом работы контрольно-счетной комиссии городского округа город Михайловка Волгоградской области, утвержденным распоряжением председателя </w:t>
      </w:r>
      <w:r w:rsidR="00FE608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КСК от </w:t>
      </w:r>
      <w:r w:rsidR="002314EE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D68F9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314EE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.12</w:t>
      </w:r>
      <w:r w:rsidR="009D68F9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.2022</w:t>
      </w:r>
      <w:r w:rsidR="006467EB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2314EE"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36</w:t>
      </w:r>
      <w:r w:rsidRPr="002314E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целях подготовки заключения на годовой отчёт об исполнении бюджета за 20</w:t>
      </w:r>
      <w:r w:rsidR="009D68F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8600F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год, с </w:t>
      </w:r>
      <w:r w:rsidR="006F551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467E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.04.20</w:t>
      </w:r>
      <w:r w:rsidR="002525B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3316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>28</w:t>
      </w:r>
      <w:r w:rsidR="003316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.04.20</w:t>
      </w:r>
      <w:r w:rsidR="002525B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D68F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председателем КСК Тазовой Н.А., </w:t>
      </w:r>
      <w:r w:rsidR="009D68F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ведущим инспектором, консультантом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КСК Петровой Ю.П., проведена экспертно-аналитическая оценка проекта решения Михайловской городской Думы Волгоградской области  «Об исполнении бюджета городского округа город Михайловка </w:t>
      </w:r>
      <w:r w:rsidR="006467E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Волгоградской области за 20</w:t>
      </w:r>
      <w:r w:rsidR="009D68F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1263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год».</w:t>
      </w: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Общие положения </w:t>
      </w: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Бюджетный кодекс Российской Федерации;</w:t>
      </w:r>
    </w:p>
    <w:p w:rsidR="00092A9D" w:rsidRPr="00425BF2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Федеральный закон от 06.10.2003 № 131-ФЗ «Об общих принципах организации местного самоуправления в Российской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ab/>
        <w:t>Федерации;</w:t>
      </w:r>
    </w:p>
    <w:p w:rsidR="00092A9D" w:rsidRPr="00425BF2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25BF2">
        <w:rPr>
          <w:rFonts w:ascii="Times New Roman" w:eastAsia="Calibri" w:hAnsi="Times New Roman" w:cs="Times New Roman"/>
          <w:lang w:eastAsia="ar-SA"/>
        </w:rPr>
        <w:t>Устав городского округа город Михайловка;</w:t>
      </w:r>
    </w:p>
    <w:p w:rsidR="00092A9D" w:rsidRPr="00425BF2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образований»;</w:t>
      </w:r>
    </w:p>
    <w:p w:rsidR="00092A9D" w:rsidRPr="00425BF2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Положение о контрольно-счетной комиссии городского округа город Михайловка, утвержденное решением Михайловской городской Думы от 28.12.2009 года № 482;</w:t>
      </w:r>
    </w:p>
    <w:p w:rsidR="00092A9D" w:rsidRPr="00425BF2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Положение о бюджетном процессе в городском округе город Михайловка, утвержденное решением Михайловской городской Думы от </w:t>
      </w:r>
      <w:r w:rsidR="00B5216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26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5216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.20</w:t>
      </w:r>
      <w:r w:rsidR="00B5216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№ </w:t>
      </w:r>
      <w:r w:rsidR="00B5216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305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92A9D" w:rsidRPr="00425BF2" w:rsidRDefault="0048049B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План КСК на 202</w:t>
      </w:r>
      <w:r w:rsidR="0015053C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год, утвержденный распоряжением председателя контрольн</w:t>
      </w:r>
      <w:r w:rsidR="006467E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о-счетной комиссии от </w:t>
      </w:r>
      <w:r w:rsidR="002314EE">
        <w:rPr>
          <w:rFonts w:ascii="Times New Roman" w:eastAsia="Calibri" w:hAnsi="Times New Roman" w:cs="Calibri"/>
          <w:sz w:val="24"/>
          <w:szCs w:val="24"/>
          <w:lang w:eastAsia="ar-SA"/>
        </w:rPr>
        <w:t>30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2314EE">
        <w:rPr>
          <w:rFonts w:ascii="Times New Roman" w:eastAsia="Calibri" w:hAnsi="Times New Roman" w:cs="Calibri"/>
          <w:sz w:val="24"/>
          <w:szCs w:val="24"/>
          <w:lang w:eastAsia="ar-SA"/>
        </w:rPr>
        <w:t>12</w:t>
      </w:r>
      <w:r w:rsidR="006467EB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22</w:t>
      </w:r>
      <w:r w:rsidR="002314E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6467E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 </w:t>
      </w:r>
      <w:r w:rsidR="002314EE">
        <w:rPr>
          <w:rFonts w:ascii="Times New Roman" w:eastAsia="Calibri" w:hAnsi="Times New Roman" w:cs="Calibri"/>
          <w:sz w:val="24"/>
          <w:szCs w:val="24"/>
          <w:lang w:eastAsia="ar-SA"/>
        </w:rPr>
        <w:t>36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Цель проверки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Установление соответствия отчета об исполнении бюджета городского округа город Михайловка положениям нормативных правовых актов по бюджетному процессу, в том числе Бюджетному кодексу Российской Федерации, решениям Михайловской городской Думы, иным муниципальным правовым актам.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Установление полноты и достоверности отчета об исполнении бюджета городского округа город Михайловка за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15053C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Объект проверки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Отчет об исполнении бюджета городского округа город Михайловка за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15053C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      При подготовке заключения использованы материалы экспертно-аналитических и контрольных мероприятий, проведенных контрольно-счетной комиссией в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15053C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и текущем периоде 20</w:t>
      </w:r>
      <w:r w:rsidR="00337D61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15053C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Соответствие отче</w:t>
      </w:r>
      <w:r w:rsidR="006467EB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та об исполнении бюджета за 20</w:t>
      </w:r>
      <w:r w:rsidR="009D68F9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="0015053C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год Бюджетному кодексу Российской Федерации и Положению о бюджетном процессе.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В соот</w:t>
      </w:r>
      <w:r w:rsidR="00B158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ветствии со ст.264.4 БК РФ и п.2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ст. </w:t>
      </w:r>
      <w:r w:rsidR="000D2FD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положения о бюджетном процессе, отчет об исполнении бюджета городского округа город Михайловка за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15053C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представлен Администрацией </w:t>
      </w:r>
      <w:r w:rsidR="000D2FD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для подготовки заключения на него </w:t>
      </w:r>
      <w:r w:rsidR="006467E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установленный срок 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15053C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="00337D61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.03.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202</w:t>
      </w:r>
      <w:r w:rsidR="0015053C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года.</w:t>
      </w:r>
    </w:p>
    <w:p w:rsidR="00092A9D" w:rsidRPr="00425BF2" w:rsidRDefault="00092A9D" w:rsidP="00092A9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Ежеквартальные сведения о ходе исполнения местного  бюджета и о численности муниципальных служащих, работниках муниципальных учреждений с указанием фактических затрат на их денежное содержание опубликованы в </w:t>
      </w:r>
      <w:r w:rsidR="00DA49A3" w:rsidRPr="0042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газете </w:t>
      </w:r>
      <w:r w:rsidR="00DA49A3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«П</w:t>
      </w:r>
      <w:r w:rsidR="008A0EEE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ризыв</w:t>
      </w:r>
      <w:r w:rsidR="0033162F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47B96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3 (17929)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AD5DEA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</w:t>
      </w:r>
      <w:r w:rsidR="00AD5DEA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A49A3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</w:t>
      </w:r>
      <w:r w:rsidR="00531607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«Призыв»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6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7 (17963)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AD5DEA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D5DEA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A49A3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</w:t>
      </w:r>
      <w:r w:rsidR="00531607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«Призыв» </w:t>
      </w:r>
      <w:r w:rsidR="008A0EEE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№ 8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(17983) </w:t>
      </w:r>
      <w:r w:rsidR="001C0215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D5DEA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6A72"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092A9D" w:rsidRPr="00425BF2" w:rsidRDefault="00092A9D" w:rsidP="00092A9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Общая характеристика отчета об исполнении бюджета городского </w:t>
      </w:r>
      <w:r w:rsidR="006467EB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округа город Михайловка за 20</w:t>
      </w:r>
      <w:r w:rsidR="006102B9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="002314EE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год.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соответствии с Положением о бюджетном процессе, непосредственное составление бюджетной отчетности городского округа город Михайловка осуществляет  финанс</w:t>
      </w:r>
      <w:r w:rsidR="00F9044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овый отдел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администрации городского  округа город Михайловка</w:t>
      </w:r>
      <w:r w:rsidR="00F9044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Волгоградской области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Проект Решения об исполнении бюджета городского округа представлен на рассмотрение в Михайловскую городскую Думу в следующих параметрах</w:t>
      </w:r>
      <w:r w:rsidRPr="00425BF2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1418"/>
        <w:gridCol w:w="1559"/>
        <w:gridCol w:w="1082"/>
        <w:gridCol w:w="1044"/>
        <w:gridCol w:w="851"/>
        <w:gridCol w:w="1134"/>
        <w:gridCol w:w="992"/>
      </w:tblGrid>
      <w:tr w:rsidR="00A112AB" w:rsidRPr="00425BF2" w:rsidTr="00092A9D">
        <w:trPr>
          <w:cantSplit/>
          <w:trHeight w:hRule="exact" w:val="5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25B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425BF2" w:rsidRDefault="00092A9D" w:rsidP="002314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на 20</w:t>
            </w:r>
            <w:r w:rsidR="00CC591C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231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исполнение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4C4E0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Отклонение </w:t>
            </w:r>
            <w:r w:rsidR="004C4E08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первоначальных плановых показателей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425BF2" w:rsidRDefault="004C4E08" w:rsidP="0016634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 от</w:t>
            </w:r>
            <w:r w:rsidR="002314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уточненных п</w:t>
            </w:r>
            <w:r w:rsidR="00166347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казателей, утвержденных</w:t>
            </w:r>
            <w:r w:rsidR="00166347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Решением МгД</w:t>
            </w:r>
          </w:p>
        </w:tc>
      </w:tr>
      <w:tr w:rsidR="00A112AB" w:rsidRPr="00425BF2" w:rsidTr="004C4E08">
        <w:trPr>
          <w:cantSplit/>
          <w:trHeight w:hRule="exact" w:val="66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Первоначальные плановые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166347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Показатели, утвержденные Решением МгД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425BF2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112AB" w:rsidRPr="00425BF2" w:rsidTr="00092A9D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425BF2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Абсолютное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Относительное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Абсолютное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Относительное</w:t>
            </w:r>
          </w:p>
        </w:tc>
      </w:tr>
      <w:tr w:rsidR="00A112AB" w:rsidRPr="00425BF2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Общий объем доходов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DB038D" w:rsidP="00B3773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2137129,4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7B278D" w:rsidP="00B3773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2385171,1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7B278D" w:rsidP="004458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2402593,2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9C0AF3" w:rsidP="004C4E08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265463,8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4C4E08" w:rsidP="00F5535C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="006102B9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F55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102B9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55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9C0AF3" w:rsidP="00AF2CD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17422,1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425BF2" w:rsidRDefault="006102B9" w:rsidP="00F5535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="00F55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</w:tr>
      <w:tr w:rsidR="00A112AB" w:rsidRPr="00425BF2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Общий объем расходов          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F276CD" w:rsidP="00502A0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2137129,4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F276CD" w:rsidP="004458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2521828,2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F56212" w:rsidP="00AF2CD5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2407759,4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F276CD" w:rsidP="00092A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270630,0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25624C" w:rsidP="00AD15D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="006102B9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AD15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25624C" w:rsidP="00F276C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276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114068,8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425BF2" w:rsidRDefault="008B021D" w:rsidP="00AD15D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6102B9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</w:t>
            </w:r>
            <w:r w:rsidR="00AD15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112AB" w:rsidRPr="00425BF2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Дефицит,</w:t>
            </w:r>
          </w:p>
          <w:p w:rsidR="00092A9D" w:rsidRPr="00425BF2" w:rsidRDefault="00114516" w:rsidP="0011451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Профицит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114516" w:rsidP="00AD15D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AD15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136657,1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AD15DA" w:rsidP="00AD15D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-5166,2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BD57AD" w:rsidP="00AF2CD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D15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5166,2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425BF2" w:rsidRDefault="00254A61" w:rsidP="00AD15D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-131490,9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425BF2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руб.                       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1372"/>
        <w:gridCol w:w="1453"/>
        <w:gridCol w:w="1540"/>
        <w:gridCol w:w="1615"/>
        <w:gridCol w:w="1491"/>
      </w:tblGrid>
      <w:tr w:rsidR="00A112AB" w:rsidRPr="00425BF2" w:rsidTr="00092A9D">
        <w:tc>
          <w:tcPr>
            <w:tcW w:w="1985" w:type="dxa"/>
            <w:shd w:val="clear" w:color="auto" w:fill="auto"/>
          </w:tcPr>
          <w:p w:rsidR="00092A9D" w:rsidRPr="00425BF2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092A9D" w:rsidRPr="00425BF2" w:rsidRDefault="00092A9D" w:rsidP="00F5535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План на 20</w:t>
            </w:r>
            <w:r w:rsidR="006102B9"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  <w:r w:rsidR="00F5535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</w:tcPr>
          <w:p w:rsidR="00092A9D" w:rsidRPr="00425BF2" w:rsidRDefault="00166347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Показатели, утвержденные Решением МгД</w:t>
            </w:r>
          </w:p>
        </w:tc>
        <w:tc>
          <w:tcPr>
            <w:tcW w:w="1582" w:type="dxa"/>
            <w:shd w:val="clear" w:color="auto" w:fill="auto"/>
          </w:tcPr>
          <w:p w:rsidR="00092A9D" w:rsidRPr="00425BF2" w:rsidRDefault="006102B9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Исполнение бюджета за 202</w:t>
            </w:r>
            <w:r w:rsidR="00F5621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  <w:r w:rsidR="00092A9D"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год</w:t>
            </w:r>
          </w:p>
          <w:p w:rsidR="00092A9D" w:rsidRPr="00425BF2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shd w:val="clear" w:color="auto" w:fill="auto"/>
          </w:tcPr>
          <w:p w:rsidR="00092A9D" w:rsidRPr="00425BF2" w:rsidRDefault="00092A9D" w:rsidP="00FC153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% исполнения </w:t>
            </w:r>
            <w:r w:rsidR="00FC153D"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от </w:t>
            </w: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плана</w:t>
            </w:r>
          </w:p>
        </w:tc>
        <w:tc>
          <w:tcPr>
            <w:tcW w:w="1296" w:type="dxa"/>
            <w:shd w:val="clear" w:color="auto" w:fill="auto"/>
          </w:tcPr>
          <w:p w:rsidR="00092A9D" w:rsidRPr="00425BF2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% исполнения к </w:t>
            </w:r>
            <w:r w:rsidR="00A05B08"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Показателям, утвержденным Решением МгД</w:t>
            </w:r>
          </w:p>
        </w:tc>
      </w:tr>
      <w:tr w:rsidR="00A112AB" w:rsidRPr="00425BF2" w:rsidTr="00092A9D">
        <w:tc>
          <w:tcPr>
            <w:tcW w:w="1985" w:type="dxa"/>
            <w:shd w:val="clear" w:color="auto" w:fill="auto"/>
          </w:tcPr>
          <w:p w:rsidR="00092A9D" w:rsidRPr="00425BF2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Доходы бюджета</w:t>
            </w:r>
          </w:p>
        </w:tc>
        <w:tc>
          <w:tcPr>
            <w:tcW w:w="1417" w:type="dxa"/>
            <w:shd w:val="clear" w:color="auto" w:fill="auto"/>
          </w:tcPr>
          <w:p w:rsidR="00092A9D" w:rsidRPr="00425BF2" w:rsidRDefault="00F5535C" w:rsidP="007346F5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2437429,2</w:t>
            </w:r>
          </w:p>
        </w:tc>
        <w:tc>
          <w:tcPr>
            <w:tcW w:w="1441" w:type="dxa"/>
            <w:shd w:val="clear" w:color="auto" w:fill="auto"/>
          </w:tcPr>
          <w:p w:rsidR="00092A9D" w:rsidRPr="00425BF2" w:rsidRDefault="007B278D" w:rsidP="00836384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2385171,1</w:t>
            </w:r>
          </w:p>
        </w:tc>
        <w:tc>
          <w:tcPr>
            <w:tcW w:w="1582" w:type="dxa"/>
            <w:shd w:val="clear" w:color="auto" w:fill="auto"/>
          </w:tcPr>
          <w:p w:rsidR="00092A9D" w:rsidRPr="00425BF2" w:rsidRDefault="007B278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2402593,2</w:t>
            </w:r>
          </w:p>
        </w:tc>
        <w:tc>
          <w:tcPr>
            <w:tcW w:w="1672" w:type="dxa"/>
            <w:shd w:val="clear" w:color="auto" w:fill="auto"/>
          </w:tcPr>
          <w:p w:rsidR="00092A9D" w:rsidRPr="00425BF2" w:rsidRDefault="00B716F7" w:rsidP="00F56212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</w:t>
            </w:r>
            <w:r w:rsidR="00F5621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</w:t>
            </w: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1296" w:type="dxa"/>
            <w:shd w:val="clear" w:color="auto" w:fill="auto"/>
          </w:tcPr>
          <w:p w:rsidR="00092A9D" w:rsidRPr="00425BF2" w:rsidRDefault="00AB73AC" w:rsidP="0023726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100,7</w:t>
            </w:r>
          </w:p>
        </w:tc>
      </w:tr>
      <w:tr w:rsidR="00A112AB" w:rsidRPr="00425BF2" w:rsidTr="00092A9D">
        <w:tc>
          <w:tcPr>
            <w:tcW w:w="1985" w:type="dxa"/>
            <w:shd w:val="clear" w:color="auto" w:fill="auto"/>
          </w:tcPr>
          <w:p w:rsidR="00092A9D" w:rsidRPr="00425BF2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- в т. ч. </w:t>
            </w:r>
          </w:p>
          <w:p w:rsidR="00092A9D" w:rsidRPr="00425BF2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налоговые и неналоговые</w:t>
            </w:r>
          </w:p>
        </w:tc>
        <w:tc>
          <w:tcPr>
            <w:tcW w:w="1417" w:type="dxa"/>
            <w:shd w:val="clear" w:color="auto" w:fill="auto"/>
          </w:tcPr>
          <w:p w:rsidR="00092A9D" w:rsidRPr="00425BF2" w:rsidRDefault="00F56212" w:rsidP="00225E9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815540,2</w:t>
            </w:r>
          </w:p>
        </w:tc>
        <w:tc>
          <w:tcPr>
            <w:tcW w:w="1441" w:type="dxa"/>
            <w:shd w:val="clear" w:color="auto" w:fill="auto"/>
          </w:tcPr>
          <w:p w:rsidR="00092A9D" w:rsidRPr="00425BF2" w:rsidRDefault="00485CA6" w:rsidP="00E168B7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815540,2</w:t>
            </w:r>
          </w:p>
        </w:tc>
        <w:tc>
          <w:tcPr>
            <w:tcW w:w="1582" w:type="dxa"/>
            <w:shd w:val="clear" w:color="auto" w:fill="auto"/>
          </w:tcPr>
          <w:p w:rsidR="00092A9D" w:rsidRPr="00425BF2" w:rsidRDefault="00F56212" w:rsidP="00225E9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838106,2</w:t>
            </w:r>
          </w:p>
        </w:tc>
        <w:tc>
          <w:tcPr>
            <w:tcW w:w="1672" w:type="dxa"/>
            <w:shd w:val="clear" w:color="auto" w:fill="auto"/>
          </w:tcPr>
          <w:p w:rsidR="00092A9D" w:rsidRPr="00425BF2" w:rsidRDefault="00B716F7" w:rsidP="0023726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102,</w:t>
            </w:r>
            <w:r w:rsidR="00F5621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092A9D" w:rsidRPr="00425BF2" w:rsidRDefault="00424177" w:rsidP="00826D0A">
            <w:pPr>
              <w:autoSpaceDE w:val="0"/>
              <w:spacing w:after="0"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        </w:t>
            </w:r>
            <w:r w:rsidR="00485CA6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102,8</w:t>
            </w:r>
          </w:p>
          <w:p w:rsidR="00826D0A" w:rsidRPr="00425BF2" w:rsidRDefault="00826D0A" w:rsidP="00826D0A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A112AB" w:rsidRPr="00425BF2" w:rsidTr="00237261">
        <w:trPr>
          <w:trHeight w:val="1041"/>
        </w:trPr>
        <w:tc>
          <w:tcPr>
            <w:tcW w:w="1985" w:type="dxa"/>
            <w:shd w:val="clear" w:color="auto" w:fill="auto"/>
          </w:tcPr>
          <w:p w:rsidR="00092A9D" w:rsidRPr="00425BF2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-в т.ч. </w:t>
            </w:r>
          </w:p>
          <w:p w:rsidR="00092A9D" w:rsidRPr="00425BF2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092A9D" w:rsidRPr="00425BF2" w:rsidRDefault="00F56212" w:rsidP="00225E9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1621889,0</w:t>
            </w:r>
          </w:p>
        </w:tc>
        <w:tc>
          <w:tcPr>
            <w:tcW w:w="1441" w:type="dxa"/>
            <w:shd w:val="clear" w:color="auto" w:fill="auto"/>
          </w:tcPr>
          <w:p w:rsidR="00092A9D" w:rsidRPr="00425BF2" w:rsidRDefault="00485CA6" w:rsidP="00E168B7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1569630,9</w:t>
            </w:r>
          </w:p>
        </w:tc>
        <w:tc>
          <w:tcPr>
            <w:tcW w:w="1582" w:type="dxa"/>
            <w:shd w:val="clear" w:color="auto" w:fill="auto"/>
          </w:tcPr>
          <w:p w:rsidR="00092A9D" w:rsidRPr="00425BF2" w:rsidRDefault="00F56212" w:rsidP="009670A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1564487,0</w:t>
            </w:r>
          </w:p>
        </w:tc>
        <w:tc>
          <w:tcPr>
            <w:tcW w:w="1672" w:type="dxa"/>
            <w:shd w:val="clear" w:color="auto" w:fill="auto"/>
          </w:tcPr>
          <w:p w:rsidR="00092A9D" w:rsidRPr="00425BF2" w:rsidRDefault="00B716F7" w:rsidP="00F56212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</w:t>
            </w:r>
            <w:r w:rsidR="00F5621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6</w:t>
            </w: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</w:t>
            </w:r>
            <w:r w:rsidR="00F5621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092A9D" w:rsidRPr="00425BF2" w:rsidRDefault="00485CA6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99,7</w:t>
            </w:r>
          </w:p>
        </w:tc>
      </w:tr>
      <w:tr w:rsidR="00A112AB" w:rsidRPr="00425BF2" w:rsidTr="00092A9D">
        <w:tc>
          <w:tcPr>
            <w:tcW w:w="1985" w:type="dxa"/>
            <w:shd w:val="clear" w:color="auto" w:fill="auto"/>
          </w:tcPr>
          <w:p w:rsidR="00092A9D" w:rsidRPr="00425BF2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Расходы бюджета</w:t>
            </w:r>
          </w:p>
        </w:tc>
        <w:tc>
          <w:tcPr>
            <w:tcW w:w="1417" w:type="dxa"/>
            <w:shd w:val="clear" w:color="auto" w:fill="auto"/>
          </w:tcPr>
          <w:p w:rsidR="00092A9D" w:rsidRPr="00425BF2" w:rsidRDefault="00F56212" w:rsidP="0023726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2574086,3</w:t>
            </w:r>
          </w:p>
        </w:tc>
        <w:tc>
          <w:tcPr>
            <w:tcW w:w="1441" w:type="dxa"/>
            <w:shd w:val="clear" w:color="auto" w:fill="auto"/>
          </w:tcPr>
          <w:p w:rsidR="00092A9D" w:rsidRPr="00425BF2" w:rsidRDefault="00F56212" w:rsidP="00E02A95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2521828,2</w:t>
            </w:r>
          </w:p>
        </w:tc>
        <w:tc>
          <w:tcPr>
            <w:tcW w:w="1582" w:type="dxa"/>
            <w:shd w:val="clear" w:color="auto" w:fill="auto"/>
          </w:tcPr>
          <w:p w:rsidR="00092A9D" w:rsidRPr="00425BF2" w:rsidRDefault="00F56212" w:rsidP="00225E9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2407759,4</w:t>
            </w:r>
          </w:p>
        </w:tc>
        <w:tc>
          <w:tcPr>
            <w:tcW w:w="1672" w:type="dxa"/>
            <w:shd w:val="clear" w:color="auto" w:fill="auto"/>
          </w:tcPr>
          <w:p w:rsidR="00092A9D" w:rsidRPr="00425BF2" w:rsidRDefault="00237261" w:rsidP="00237261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93</w:t>
            </w:r>
            <w:r w:rsidR="0084717A"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</w:t>
            </w:r>
            <w:r w:rsidR="00F276CD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092A9D" w:rsidRPr="00425BF2" w:rsidRDefault="00487EF8" w:rsidP="00487EF8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95,</w:t>
            </w:r>
            <w:r w:rsidR="00F276CD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5</w:t>
            </w:r>
          </w:p>
        </w:tc>
      </w:tr>
    </w:tbl>
    <w:p w:rsidR="00092A9D" w:rsidRPr="00425BF2" w:rsidRDefault="00686A72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      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Бюджет городского округа город Михайловка по доходам за 20</w:t>
      </w:r>
      <w:r w:rsidR="00A2223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7B278D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 в сумме </w:t>
      </w:r>
      <w:r w:rsidR="007B278D">
        <w:rPr>
          <w:rFonts w:ascii="Times New Roman" w:eastAsia="Calibri" w:hAnsi="Times New Roman" w:cs="Calibri"/>
          <w:sz w:val="24"/>
          <w:szCs w:val="24"/>
          <w:lang w:eastAsia="ar-SA"/>
        </w:rPr>
        <w:t>2402593,2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в том числе по налоговым и неналоговым доходам в сумме 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838106</w:t>
      </w:r>
      <w:r w:rsidR="00487EF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,2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</w:t>
      </w:r>
      <w:r w:rsidR="008A0EE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безвозмездным поступлениям </w:t>
      </w:r>
      <w:r w:rsidR="00487EF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564487,0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Исполнение по р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асход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ам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20</w:t>
      </w:r>
      <w:r w:rsidR="00487EF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о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2407759,4</w:t>
      </w:r>
      <w:r w:rsidR="00092A9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</w:p>
    <w:p w:rsidR="00BD57AD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Решением 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городской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Думы </w:t>
      </w:r>
      <w:r w:rsidR="008C6A8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на 20</w:t>
      </w:r>
      <w:r w:rsidR="00487EF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="006718F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изначально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утвержден бездефицитный бюджет. 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С учетом вносимых поправок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течение года, о</w:t>
      </w:r>
      <w:r w:rsidR="006829D7">
        <w:rPr>
          <w:rFonts w:ascii="Times New Roman" w:eastAsia="Calibri" w:hAnsi="Times New Roman" w:cs="Calibri"/>
          <w:sz w:val="24"/>
          <w:szCs w:val="24"/>
          <w:lang w:eastAsia="ar-SA"/>
        </w:rPr>
        <w:t>бъем дефицита бюджета городского округа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утвержден Думой в сумме 136657,1 тыс.руб</w:t>
      </w:r>
      <w:r w:rsidR="006718FC" w:rsidRPr="00F621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Pr="00F621C7">
        <w:rPr>
          <w:rFonts w:ascii="Times New Roman" w:eastAsia="Calibri" w:hAnsi="Times New Roman" w:cs="Calibri"/>
          <w:sz w:val="24"/>
          <w:szCs w:val="24"/>
          <w:lang w:eastAsia="ar-SA"/>
        </w:rPr>
        <w:t>Фактически  бюджет городского округа за 20</w:t>
      </w:r>
      <w:r w:rsidR="00487EF8" w:rsidRPr="00F621C7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829D7" w:rsidRPr="00F621C7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F621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 с </w:t>
      </w:r>
      <w:r w:rsidR="006829D7" w:rsidRPr="00F621C7">
        <w:rPr>
          <w:rFonts w:ascii="Times New Roman" w:eastAsia="Calibri" w:hAnsi="Times New Roman" w:cs="Calibri"/>
          <w:sz w:val="24"/>
          <w:szCs w:val="24"/>
          <w:lang w:eastAsia="ar-SA"/>
        </w:rPr>
        <w:t>деф</w:t>
      </w:r>
      <w:r w:rsidR="00487EF8" w:rsidRPr="00F621C7">
        <w:rPr>
          <w:rFonts w:ascii="Times New Roman" w:eastAsia="Calibri" w:hAnsi="Times New Roman" w:cs="Calibri"/>
          <w:sz w:val="24"/>
          <w:szCs w:val="24"/>
          <w:lang w:eastAsia="ar-SA"/>
        </w:rPr>
        <w:t>ицитом</w:t>
      </w:r>
      <w:r w:rsidRPr="00F621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в сумме </w:t>
      </w:r>
      <w:r w:rsidR="00487EF8" w:rsidRPr="00F621C7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="006829D7" w:rsidRPr="00F621C7">
        <w:rPr>
          <w:rFonts w:ascii="Times New Roman" w:eastAsia="Calibri" w:hAnsi="Times New Roman" w:cs="Calibri"/>
          <w:sz w:val="24"/>
          <w:szCs w:val="24"/>
          <w:lang w:eastAsia="ar-SA"/>
        </w:rPr>
        <w:t>166</w:t>
      </w:r>
      <w:r w:rsidR="00487EF8" w:rsidRPr="00F621C7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6829D7" w:rsidRPr="00F621C7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F621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407E4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Источниками финансирования дефицита бюджета явил</w:t>
      </w:r>
      <w:r w:rsidR="00BD57AD"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r w:rsidR="00407E4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сь  остатк</w:t>
      </w:r>
      <w:r w:rsidR="00BD57A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 </w:t>
      </w:r>
      <w:r w:rsidR="00407E4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средств на счетах бюджета городского округа</w:t>
      </w:r>
      <w:r w:rsidR="00BD57AD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86A72" w:rsidRDefault="00092A9D" w:rsidP="00092A9D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На формирование резервного фонда в бюджете городского округа город Михайловка на 20</w:t>
      </w:r>
      <w:r w:rsidR="00487EF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 предусматривались средства в сумме 500,0 тыс. рублей</w:t>
      </w:r>
      <w:r w:rsidRPr="00425BF2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.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Согласно отчету</w:t>
      </w:r>
      <w:r w:rsidR="00DB038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 расходовании средств резервного фонда администрации городского округа город Михайловка </w:t>
      </w:r>
      <w:r w:rsidR="00F45A4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остаток неиспользованных средств резервного фонда составил</w:t>
      </w:r>
      <w:r w:rsidR="00DB038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6718FC">
        <w:rPr>
          <w:rFonts w:ascii="Times New Roman" w:eastAsia="Calibri" w:hAnsi="Times New Roman" w:cs="Calibri"/>
          <w:sz w:val="24"/>
          <w:szCs w:val="24"/>
          <w:lang w:eastAsia="ar-SA"/>
        </w:rPr>
        <w:t>50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0,0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</w:t>
      </w:r>
      <w:r w:rsidR="00D077DF">
        <w:rPr>
          <w:rFonts w:ascii="Times New Roman" w:hAnsi="Times New Roman" w:cs="Times New Roman"/>
          <w:sz w:val="24"/>
          <w:szCs w:val="24"/>
          <w:shd w:val="clear" w:color="auto" w:fill="FFFFFF"/>
        </w:rPr>
        <w:t>ов из</w:t>
      </w:r>
      <w:r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резервного фонда </w:t>
      </w:r>
      <w:r w:rsidR="00D077DF">
        <w:rPr>
          <w:rFonts w:ascii="Times New Roman" w:hAnsi="Times New Roman" w:cs="Times New Roman"/>
          <w:sz w:val="24"/>
          <w:szCs w:val="24"/>
          <w:shd w:val="clear" w:color="auto" w:fill="FFFFFF"/>
        </w:rPr>
        <w:t>в 2022 году не было</w:t>
      </w:r>
      <w:r w:rsidR="00D077DF" w:rsidRPr="00F43D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43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43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лимитов резервного фонда  соответствовал требованиям </w:t>
      </w:r>
      <w:r w:rsidR="00F43D10" w:rsidRPr="00F43D1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п. 3 ст. 81 БК РФ </w:t>
      </w:r>
      <w:r w:rsidR="00F43D1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и не превышал </w:t>
      </w:r>
      <w:r w:rsidR="00F43D10" w:rsidRPr="00F43D1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3 % </w:t>
      </w:r>
      <w:r w:rsidR="00F43D1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утвержденного решениями городской Думы </w:t>
      </w:r>
      <w:r w:rsidR="00F43D10" w:rsidRPr="00F43D10">
        <w:rPr>
          <w:rFonts w:ascii="yandex-sans" w:eastAsia="Times New Roman" w:hAnsi="yandex-sans" w:cs="Times New Roman"/>
          <w:sz w:val="24"/>
          <w:szCs w:val="24"/>
          <w:lang w:eastAsia="ru-RU"/>
        </w:rPr>
        <w:t>общего объёма расходов бюджета</w:t>
      </w:r>
      <w:r w:rsidR="00F43D10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  <w:r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092A9D" w:rsidRPr="00425BF2" w:rsidRDefault="00686A72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092A9D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 состоянию на 1 января 20</w:t>
      </w:r>
      <w:r w:rsidR="009D68F9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B038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257E6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и на 1 января 202</w:t>
      </w:r>
      <w:r w:rsidR="00DB038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92A9D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задолженности по бюджетным кредитам нет.</w:t>
      </w:r>
      <w:r w:rsidR="007B2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29C4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Остаток му</w:t>
      </w:r>
      <w:r w:rsidR="009D68F9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>ниципального долга на 01.01.202</w:t>
      </w:r>
      <w:r w:rsidR="0065488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629C4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составил </w:t>
      </w:r>
      <w:r w:rsidR="00654889">
        <w:rPr>
          <w:rFonts w:ascii="Times New Roman" w:hAnsi="Times New Roman" w:cs="Times New Roman"/>
          <w:sz w:val="24"/>
          <w:szCs w:val="24"/>
          <w:shd w:val="clear" w:color="auto" w:fill="FFFFFF"/>
        </w:rPr>
        <w:t>59218</w:t>
      </w:r>
      <w:r w:rsidR="009D68F9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r w:rsidR="000629C4"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Бюджетные кредиты из бюджета городского округа город Михайловка в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54889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не выдавались.</w:t>
      </w:r>
    </w:p>
    <w:p w:rsidR="00092A9D" w:rsidRPr="00425BF2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Муниципальные гарантии городского округа город Михайловка  в 20</w:t>
      </w:r>
      <w:r w:rsidR="009D68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54889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юридическим лицам не предоставлялись.</w:t>
      </w:r>
    </w:p>
    <w:p w:rsidR="00092A9D" w:rsidRPr="00425BF2" w:rsidRDefault="00092A9D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Доходы бюджета.</w:t>
      </w:r>
    </w:p>
    <w:p w:rsidR="00F72521" w:rsidRPr="00425BF2" w:rsidRDefault="00F72521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37274" w:rsidRPr="00425BF2" w:rsidRDefault="00F72521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Доходы бюджета создают финансовую базу для выполнения органами местного самоуправления возложенных на них функций удовлетворения публичных потребностей. В связи с этим вопросы </w:t>
      </w:r>
      <w:r w:rsidRPr="00425BF2">
        <w:rPr>
          <w:rFonts w:ascii="Times New Roman" w:eastAsia="Calibri" w:hAnsi="Times New Roman" w:cs="Times New Roman"/>
          <w:sz w:val="24"/>
          <w:szCs w:val="24"/>
        </w:rPr>
        <w:t>пополнения доходной части местного бюджета за счет повышения налоговых и неналоговых доходов являются одним из основных направлений деятельности органов государственной власти и органов местного самоуправления.</w:t>
      </w:r>
    </w:p>
    <w:p w:rsidR="00F72521" w:rsidRDefault="00F72521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доходах городского округа город Михайловка Волгоградской о</w:t>
      </w:r>
      <w:r w:rsidR="008C6A8E"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>бласти и их темпов роста за 20</w:t>
      </w:r>
      <w:r w:rsidR="00337274"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5488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25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25BF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приведена в приложении № 1.</w:t>
      </w:r>
    </w:p>
    <w:p w:rsidR="00411B59" w:rsidRPr="00425BF2" w:rsidRDefault="00411B59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A39CE" w:rsidRPr="00425BF2" w:rsidRDefault="003A39CE" w:rsidP="00527DE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основных характеристик местного бюджета требованиям</w:t>
      </w:r>
      <w:r w:rsidR="0065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кодекса Российской Федерации</w:t>
      </w:r>
    </w:p>
    <w:p w:rsidR="003A39CE" w:rsidRPr="006C3B6A" w:rsidRDefault="003A39CE" w:rsidP="000A052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В ходе внешней проверки отчёта об исполнении бюджета было проверено соответствие</w:t>
      </w:r>
      <w:r w:rsidR="00654889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основных характеристик местного бюджета требован</w:t>
      </w:r>
      <w:r w:rsidR="000A0522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иям и ограничениям действующего </w:t>
      </w: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бюджетного законодательства.</w:t>
      </w:r>
    </w:p>
    <w:p w:rsidR="003A39CE" w:rsidRPr="006C3B6A" w:rsidRDefault="003A39CE" w:rsidP="000A052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Утверждённый размер резервного фонда городского округа город </w:t>
      </w:r>
      <w:r w:rsidR="00527DE4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Михайловка</w:t>
      </w:r>
      <w:r w:rsidR="000A0522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в размере </w:t>
      </w:r>
      <w:r w:rsidR="00527DE4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500,0 тыс. руб. по итогам 20</w:t>
      </w:r>
      <w:r w:rsidR="00DB27B0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654889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не превысил предельные з</w:t>
      </w:r>
      <w:r w:rsidR="00364113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начения, установленные п. 3 ст. </w:t>
      </w: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81 БК РФ (3 % общего объёма расходов бюджета). </w:t>
      </w:r>
      <w:r w:rsidR="00527DE4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В 20</w:t>
      </w:r>
      <w:r w:rsidR="00DB27B0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686A72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году </w:t>
      </w:r>
      <w:r w:rsidR="006C3B6A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средства</w:t>
      </w:r>
      <w:r w:rsidR="00CB515A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364113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резервного фонда </w:t>
      </w:r>
      <w:r w:rsidR="00686A72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не </w:t>
      </w:r>
      <w:r w:rsidR="006C3B6A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расходовались</w:t>
      </w:r>
      <w:r w:rsidR="00CB515A" w:rsidRPr="006C3B6A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3A39CE" w:rsidRDefault="003A39CE" w:rsidP="000A052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По итогам 20</w:t>
      </w:r>
      <w:r w:rsidR="00DB27B0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654889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</w:t>
      </w:r>
      <w:r w:rsidR="00686A7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дефицит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бюджета городского окр</w:t>
      </w:r>
      <w:r w:rsidR="000A052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уга </w:t>
      </w:r>
      <w:r w:rsidR="00045544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составил</w:t>
      </w:r>
      <w:r w:rsidR="00686A7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5166,2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 при планируемом дефиците </w:t>
      </w:r>
      <w:r w:rsidR="00F43D10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136</w:t>
      </w:r>
      <w:r w:rsidR="00DB27B0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6</w:t>
      </w:r>
      <w:r w:rsidR="00F43D10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57</w:t>
      </w:r>
      <w:r w:rsidR="00DB27B0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,</w:t>
      </w:r>
      <w:r w:rsidR="00F43D10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1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рублей.</w:t>
      </w:r>
    </w:p>
    <w:p w:rsidR="00364113" w:rsidRPr="005D0D69" w:rsidRDefault="00507434" w:rsidP="000A052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sz w:val="24"/>
          <w:szCs w:val="24"/>
          <w:lang w:eastAsia="ru-RU"/>
        </w:rPr>
        <w:t>В состав источников финансирования дефицита бюджета городского округа в 2022 году включались  изменения остатков средств на счетах по учету средств бюджета городского округа исполнение в сумме 8366,2 тыс.руб., и источники внутреннего финансирования дефицитов бюджетов, направленные н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а погашение кредитов от кредитной организации </w:t>
      </w:r>
      <w:r>
        <w:rPr>
          <w:rFonts w:ascii="yandex-sans" w:eastAsia="Times New Roman" w:hAnsi="yandex-sans" w:cs="Times New Roman"/>
          <w:sz w:val="24"/>
          <w:szCs w:val="24"/>
          <w:lang w:eastAsia="ru-RU"/>
        </w:rPr>
        <w:t>в сумме -</w:t>
      </w:r>
      <w:r w:rsidR="00F43D10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D2019C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3200,0 </w:t>
      </w:r>
      <w:r w:rsidR="00BE1C1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тыс.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руб.</w:t>
      </w:r>
    </w:p>
    <w:p w:rsidR="003A39CE" w:rsidRPr="005D0D69" w:rsidRDefault="003A39CE" w:rsidP="003641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lastRenderedPageBreak/>
        <w:t>Объём муниципа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льного долга городского округа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город 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Михайловка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на 01.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01.202</w:t>
      </w:r>
      <w:r w:rsidR="00D2019C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="00E846C8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сложился по кредитам, полученным муниципальным образова</w:t>
      </w:r>
      <w:r w:rsidR="00364113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нием от кредитных организаций в 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сумме </w:t>
      </w:r>
      <w:r w:rsidR="00D2019C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59218,3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что соответствует требованиям част</w:t>
      </w:r>
      <w:r w:rsidR="00364113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 3 статьи 107 БК РФ и пункту </w:t>
      </w:r>
      <w:r w:rsidR="00E22CDC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3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Решения о бюджете.</w:t>
      </w:r>
    </w:p>
    <w:p w:rsidR="003A39CE" w:rsidRPr="00425BF2" w:rsidRDefault="00364113" w:rsidP="003641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Проценты за пользование кредитным ресурсом в 20</w:t>
      </w:r>
      <w:r w:rsidR="00BE1C12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D2019C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году по условиям контракта составили </w:t>
      </w:r>
      <w:r w:rsidR="005D0D69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5347,5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 и </w:t>
      </w:r>
      <w:r w:rsidR="003A39CE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не превысил</w:t>
      </w:r>
      <w:r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 предельные значения, </w:t>
      </w:r>
      <w:r w:rsidR="003A39CE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установленные ст. 111 БК РФ</w:t>
      </w:r>
      <w:r w:rsidR="006E5843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>, и п. 4</w:t>
      </w:r>
      <w:r w:rsidR="003A39CE" w:rsidRPr="005D0D69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Решения о бюджете.</w:t>
      </w:r>
    </w:p>
    <w:p w:rsidR="000140B3" w:rsidRPr="00425BF2" w:rsidRDefault="000140B3" w:rsidP="003A39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A39CE" w:rsidRPr="00425BF2" w:rsidRDefault="003A39CE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425BF2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Основные параметры местного бюджета</w:t>
      </w:r>
    </w:p>
    <w:p w:rsidR="000140B3" w:rsidRPr="00425BF2" w:rsidRDefault="000140B3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</w:p>
    <w:p w:rsidR="003A39CE" w:rsidRPr="00425BF2" w:rsidRDefault="000140B3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Бюджет городского округа 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город 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Михайловка Волгоградской области на 20</w:t>
      </w:r>
      <w:r w:rsidR="003657DF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1B6538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 первоначально был утверждён</w:t>
      </w:r>
      <w:r w:rsidR="00D077D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реше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нием Михайловской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городской Думы </w:t>
      </w:r>
      <w:r w:rsidR="007F7A01" w:rsidRPr="00425BF2">
        <w:rPr>
          <w:rFonts w:ascii="Times New Roman" w:eastAsia="Calibri" w:hAnsi="Times New Roman" w:cs="Times New Roman"/>
          <w:sz w:val="24"/>
          <w:szCs w:val="24"/>
        </w:rPr>
        <w:t>2</w:t>
      </w:r>
      <w:r w:rsidR="00BE7AC2">
        <w:rPr>
          <w:rFonts w:ascii="Times New Roman" w:eastAsia="Calibri" w:hAnsi="Times New Roman" w:cs="Times New Roman"/>
          <w:sz w:val="24"/>
          <w:szCs w:val="24"/>
        </w:rPr>
        <w:t>8</w:t>
      </w:r>
      <w:r w:rsidR="007F7A01" w:rsidRPr="00425BF2">
        <w:rPr>
          <w:rFonts w:ascii="Times New Roman" w:eastAsia="Calibri" w:hAnsi="Times New Roman" w:cs="Times New Roman"/>
          <w:sz w:val="24"/>
          <w:szCs w:val="24"/>
        </w:rPr>
        <w:t xml:space="preserve"> декабря 202</w:t>
      </w:r>
      <w:r w:rsidR="00BE7AC2">
        <w:rPr>
          <w:rFonts w:ascii="Times New Roman" w:eastAsia="Calibri" w:hAnsi="Times New Roman" w:cs="Times New Roman"/>
          <w:sz w:val="24"/>
          <w:szCs w:val="24"/>
        </w:rPr>
        <w:t>1</w:t>
      </w:r>
      <w:r w:rsidR="007F7A01" w:rsidRPr="00425BF2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BE7AC2">
        <w:rPr>
          <w:rFonts w:ascii="Times New Roman" w:eastAsia="Calibri" w:hAnsi="Times New Roman" w:cs="Times New Roman"/>
          <w:sz w:val="24"/>
          <w:szCs w:val="24"/>
        </w:rPr>
        <w:t>482</w:t>
      </w:r>
      <w:r w:rsidR="007F7A01" w:rsidRPr="00425BF2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Михайловка </w:t>
      </w:r>
      <w:r w:rsidR="00BE7AC2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Волгоградской области</w:t>
      </w:r>
      <w:r w:rsidR="00BE7AC2" w:rsidRPr="00425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AC2">
        <w:rPr>
          <w:rFonts w:ascii="Times New Roman" w:eastAsia="Calibri" w:hAnsi="Times New Roman" w:cs="Times New Roman"/>
          <w:sz w:val="24"/>
          <w:szCs w:val="24"/>
        </w:rPr>
        <w:t>на 2022</w:t>
      </w:r>
      <w:r w:rsidR="007F7A01" w:rsidRPr="00425BF2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BE7AC2">
        <w:rPr>
          <w:rFonts w:ascii="Times New Roman" w:eastAsia="Calibri" w:hAnsi="Times New Roman" w:cs="Times New Roman"/>
          <w:sz w:val="24"/>
          <w:szCs w:val="24"/>
        </w:rPr>
        <w:t>3</w:t>
      </w:r>
      <w:r w:rsidR="007F7A01" w:rsidRPr="00425BF2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BE7AC2">
        <w:rPr>
          <w:rFonts w:ascii="Times New Roman" w:eastAsia="Calibri" w:hAnsi="Times New Roman" w:cs="Times New Roman"/>
          <w:sz w:val="24"/>
          <w:szCs w:val="24"/>
        </w:rPr>
        <w:t>4</w:t>
      </w:r>
      <w:r w:rsidR="007F7A01" w:rsidRPr="00425BF2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» по доходам на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C65567" w:rsidRPr="00425BF2">
        <w:rPr>
          <w:rFonts w:ascii="Times New Roman" w:hAnsi="Times New Roman"/>
          <w:sz w:val="24"/>
          <w:szCs w:val="24"/>
        </w:rPr>
        <w:t>2</w:t>
      </w:r>
      <w:r w:rsidR="00BE7AC2">
        <w:rPr>
          <w:rFonts w:ascii="Times New Roman" w:hAnsi="Times New Roman"/>
          <w:sz w:val="24"/>
          <w:szCs w:val="24"/>
        </w:rPr>
        <w:t>137129,4</w:t>
      </w:r>
      <w:r w:rsidR="00C65567" w:rsidRPr="00425BF2">
        <w:rPr>
          <w:rFonts w:ascii="Times New Roman" w:hAnsi="Times New Roman"/>
          <w:sz w:val="24"/>
          <w:szCs w:val="24"/>
        </w:rPr>
        <w:t xml:space="preserve"> 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тыс</w:t>
      </w:r>
      <w:r w:rsidR="007568B4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. руб., по расходам на </w:t>
      </w:r>
      <w:r w:rsidR="00C65567" w:rsidRPr="00425BF2">
        <w:rPr>
          <w:rFonts w:ascii="Times New Roman" w:hAnsi="Times New Roman"/>
          <w:sz w:val="24"/>
          <w:szCs w:val="24"/>
        </w:rPr>
        <w:t>2</w:t>
      </w:r>
      <w:r w:rsidR="00BE7AC2">
        <w:rPr>
          <w:rFonts w:ascii="Times New Roman" w:hAnsi="Times New Roman"/>
          <w:sz w:val="24"/>
          <w:szCs w:val="24"/>
        </w:rPr>
        <w:t>137129,4</w:t>
      </w:r>
      <w:r w:rsidR="00C65567" w:rsidRPr="00425BF2">
        <w:rPr>
          <w:rFonts w:ascii="Times New Roman" w:hAnsi="Times New Roman"/>
          <w:sz w:val="24"/>
          <w:szCs w:val="24"/>
        </w:rPr>
        <w:t xml:space="preserve"> 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тыс. руб., </w:t>
      </w:r>
      <w:r w:rsidR="007568B4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т.е. без дефицита бюджета.</w:t>
      </w:r>
    </w:p>
    <w:p w:rsidR="003A39CE" w:rsidRPr="00425BF2" w:rsidRDefault="003A39CE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В течение финансового года основные характеристики бюджета изменялись</w:t>
      </w:r>
      <w:r w:rsidR="00D077D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8A588C">
        <w:rPr>
          <w:rFonts w:ascii="yandex-sans" w:eastAsia="Times New Roman" w:hAnsi="yandex-sans" w:cs="Times New Roman"/>
          <w:sz w:val="24"/>
          <w:szCs w:val="24"/>
          <w:lang w:eastAsia="ru-RU"/>
        </w:rPr>
        <w:t>четыре</w:t>
      </w:r>
      <w:r w:rsidR="0076047C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раза: 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решениями </w:t>
      </w:r>
      <w:r w:rsidR="007568B4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Михайловской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городской Думы </w:t>
      </w:r>
      <w:r w:rsidR="008A588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от 29 апреля 2022 года № 501, 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от 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>31 мая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</w:t>
      </w:r>
      <w:r w:rsidR="006B189A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№ 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>51</w:t>
      </w:r>
      <w:r w:rsidR="006B189A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</w:t>
      </w:r>
      <w:r w:rsidR="00EA6A3B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от 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>01 но</w:t>
      </w:r>
      <w:r w:rsidR="006B189A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ября</w:t>
      </w:r>
      <w:r w:rsidR="00EA6A3B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</w:t>
      </w:r>
      <w:r w:rsidR="00C65567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EA6A3B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№ </w:t>
      </w:r>
      <w:r w:rsidR="006B189A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4</w:t>
      </w:r>
      <w:r w:rsidR="005B3E57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от </w:t>
      </w:r>
      <w:r w:rsidR="006B189A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>1</w:t>
      </w:r>
      <w:r w:rsidR="006B189A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декабря</w:t>
      </w:r>
      <w:r w:rsidR="00C65567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202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5B3E57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№ </w:t>
      </w:r>
      <w:r w:rsidR="00BE7AC2">
        <w:rPr>
          <w:rFonts w:ascii="yandex-sans" w:eastAsia="Times New Roman" w:hAnsi="yandex-sans" w:cs="Times New Roman"/>
          <w:sz w:val="24"/>
          <w:szCs w:val="24"/>
          <w:lang w:eastAsia="ru-RU"/>
        </w:rPr>
        <w:t>21</w:t>
      </w:r>
      <w:r w:rsidR="00EA6A3B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7D1D7A" w:rsidRPr="00425BF2" w:rsidRDefault="003A39CE" w:rsidP="007D1D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>В результате плановые расходы бюджета на 20</w:t>
      </w:r>
      <w:r w:rsidR="008A588C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>22</w:t>
      </w:r>
      <w:r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 составили </w:t>
      </w:r>
      <w:r w:rsidR="004E7E20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>2521828,2</w:t>
      </w:r>
      <w:r w:rsidR="00F46FDF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что </w:t>
      </w:r>
      <w:r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на </w:t>
      </w:r>
      <w:r w:rsidR="004E7E20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>384698,8</w:t>
      </w:r>
      <w:r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или на </w:t>
      </w:r>
      <w:r w:rsidR="004E7E20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>1</w:t>
      </w:r>
      <w:r w:rsidR="00814B1B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>8</w:t>
      </w:r>
      <w:r w:rsidR="004E7E20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>,</w:t>
      </w:r>
      <w:r w:rsidR="00814B1B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>0</w:t>
      </w:r>
      <w:r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% больше первоначально </w:t>
      </w:r>
      <w:r w:rsidR="00F46FDF" w:rsidRPr="00AE563B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утверждённых назначений, доходы </w:t>
      </w:r>
      <w:r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уточнены до </w:t>
      </w:r>
      <w:r w:rsidR="00977DD6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>2385171,1</w:t>
      </w:r>
      <w:r w:rsidR="00757825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тыс. руб. и соответственно увеличились на </w:t>
      </w:r>
      <w:r w:rsidR="00977DD6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>248041,7</w:t>
      </w:r>
      <w:r w:rsidR="00F46FDF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</w:t>
      </w:r>
      <w:r w:rsidR="002A2384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или </w:t>
      </w:r>
      <w:r w:rsidR="007A4367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>1</w:t>
      </w:r>
      <w:r w:rsidR="00977DD6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>1</w:t>
      </w:r>
      <w:r w:rsidR="007A4367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>,</w:t>
      </w:r>
      <w:r w:rsidR="00977DD6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>6</w:t>
      </w:r>
      <w:r w:rsidR="0097569A"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>%</w:t>
      </w:r>
      <w:r w:rsidRPr="004A3E8A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  <w:r w:rsidR="007A4367" w:rsidRPr="004A3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A4367" w:rsidRPr="004A3E8A">
        <w:rPr>
          <w:rFonts w:ascii="Times New Roman" w:hAnsi="Times New Roman"/>
          <w:sz w:val="24"/>
          <w:szCs w:val="24"/>
        </w:rPr>
        <w:t xml:space="preserve"> Дефицит бюджета городского округа</w:t>
      </w:r>
      <w:r w:rsidR="004E7E20" w:rsidRPr="004A3E8A">
        <w:rPr>
          <w:rFonts w:ascii="Times New Roman" w:hAnsi="Times New Roman"/>
          <w:sz w:val="24"/>
          <w:szCs w:val="24"/>
        </w:rPr>
        <w:t xml:space="preserve"> </w:t>
      </w:r>
      <w:r w:rsidR="007A4367" w:rsidRPr="004A3E8A">
        <w:rPr>
          <w:rFonts w:ascii="Times New Roman" w:hAnsi="Times New Roman"/>
          <w:sz w:val="24"/>
          <w:szCs w:val="24"/>
        </w:rPr>
        <w:t>планировался в сумме 136657,1 тыс. рублей, или 26,7  процентов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отчислений.</w:t>
      </w:r>
    </w:p>
    <w:p w:rsidR="007D1D7A" w:rsidRPr="00425BF2" w:rsidRDefault="007D1D7A" w:rsidP="007D1D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При сравнении утвержденных плановых назначений с первоначальными параметрами бюджета установлено:  налоговые и неналоговые доходы увеличивались</w:t>
      </w:r>
      <w:r w:rsidR="00D2698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87429F">
        <w:rPr>
          <w:rFonts w:ascii="Times New Roman" w:eastAsia="Calibri" w:hAnsi="Times New Roman" w:cs="Times New Roman"/>
          <w:sz w:val="24"/>
          <w:szCs w:val="24"/>
          <w:lang w:eastAsia="ar-SA"/>
        </w:rPr>
        <w:t>63967,2</w:t>
      </w:r>
      <w:r w:rsidR="00D2698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</w:t>
      </w:r>
      <w:r w:rsidR="000B04C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8,5%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безвозмездные поступления </w:t>
      </w:r>
      <w:r w:rsidR="002A238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других бюджетов бюджетной системы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Решениями Михайловской городской Думы увеличились на </w:t>
      </w:r>
      <w:r w:rsidR="0087429F">
        <w:rPr>
          <w:rFonts w:ascii="Times New Roman" w:eastAsia="Calibri" w:hAnsi="Times New Roman" w:cs="Times New Roman"/>
          <w:sz w:val="24"/>
          <w:szCs w:val="24"/>
          <w:lang w:eastAsia="ar-SA"/>
        </w:rPr>
        <w:t>184074,5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</w:t>
      </w:r>
      <w:r w:rsidR="0087429F">
        <w:rPr>
          <w:rFonts w:ascii="Times New Roman" w:eastAsia="Calibri" w:hAnsi="Times New Roman" w:cs="Times New Roman"/>
          <w:sz w:val="24"/>
          <w:szCs w:val="24"/>
          <w:lang w:eastAsia="ar-SA"/>
        </w:rPr>
        <w:t>13,3</w:t>
      </w:r>
      <w:r w:rsidR="00D443FC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3A39CE" w:rsidRPr="00425BF2" w:rsidRDefault="007D1D7A" w:rsidP="000140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Фактически б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юджет исполнен по доходам на </w:t>
      </w:r>
      <w:r w:rsidR="008853E3">
        <w:rPr>
          <w:rFonts w:ascii="yandex-sans" w:eastAsia="Times New Roman" w:hAnsi="yandex-sans" w:cs="Times New Roman"/>
          <w:sz w:val="24"/>
          <w:szCs w:val="24"/>
          <w:lang w:eastAsia="ru-RU"/>
        </w:rPr>
        <w:t>2402593,2</w:t>
      </w:r>
      <w:r w:rsidR="00F46FDF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или </w:t>
      </w:r>
      <w:r w:rsidR="000F7058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9</w:t>
      </w:r>
      <w:r w:rsidR="008853E3">
        <w:rPr>
          <w:rFonts w:ascii="yandex-sans" w:eastAsia="Times New Roman" w:hAnsi="yandex-sans" w:cs="Times New Roman"/>
          <w:sz w:val="24"/>
          <w:szCs w:val="24"/>
          <w:lang w:eastAsia="ru-RU"/>
        </w:rPr>
        <w:t>8</w:t>
      </w:r>
      <w:r w:rsidR="000F7058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,6</w:t>
      </w:r>
      <w:r w:rsidR="00C46DF4">
        <w:rPr>
          <w:rFonts w:ascii="yandex-sans" w:eastAsia="Times New Roman" w:hAnsi="yandex-sans" w:cs="Times New Roman"/>
          <w:sz w:val="24"/>
          <w:szCs w:val="24"/>
          <w:lang w:eastAsia="ru-RU"/>
        </w:rPr>
        <w:t>%</w:t>
      </w:r>
      <w:r w:rsidR="008853E3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</w:t>
      </w:r>
      <w:r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по расходам на </w:t>
      </w:r>
      <w:r w:rsidR="00F06970" w:rsidRPr="00425B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853E3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="00F06970" w:rsidRPr="00425BF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853E3">
        <w:rPr>
          <w:rFonts w:ascii="Times New Roman" w:eastAsia="Times New Roman" w:hAnsi="Times New Roman" w:cs="Times New Roman"/>
          <w:sz w:val="24"/>
          <w:szCs w:val="24"/>
          <w:lang w:eastAsia="ar-SA"/>
        </w:rPr>
        <w:t>759,4</w:t>
      </w:r>
      <w:r w:rsidR="00F46FDF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руб., или на </w:t>
      </w:r>
      <w:r w:rsidR="00E10B4D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93,</w:t>
      </w:r>
      <w:r w:rsidR="00D22DC4">
        <w:rPr>
          <w:rFonts w:ascii="yandex-sans" w:eastAsia="Times New Roman" w:hAnsi="yandex-sans" w:cs="Times New Roman"/>
          <w:sz w:val="24"/>
          <w:szCs w:val="24"/>
          <w:lang w:eastAsia="ru-RU"/>
        </w:rPr>
        <w:t>5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% с </w:t>
      </w:r>
      <w:r w:rsidR="00D22DC4">
        <w:rPr>
          <w:rFonts w:ascii="yandex-sans" w:eastAsia="Times New Roman" w:hAnsi="yandex-sans" w:cs="Times New Roman"/>
          <w:sz w:val="24"/>
          <w:szCs w:val="24"/>
          <w:lang w:eastAsia="ru-RU"/>
        </w:rPr>
        <w:t>де</w:t>
      </w:r>
      <w:r w:rsidR="00DE1092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фицитом</w:t>
      </w:r>
      <w:r w:rsidR="00D22DC4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5166</w:t>
      </w:r>
      <w:r w:rsidR="00DE1092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>,</w:t>
      </w:r>
      <w:r w:rsidR="00D22DC4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3A39CE" w:rsidRPr="00425BF2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рублей</w:t>
      </w:r>
      <w:r w:rsidR="003A39CE" w:rsidRPr="00425BF2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p w:rsidR="008C5797" w:rsidRDefault="00385A51" w:rsidP="007604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Отчёт об исполнении бюджета городского округа город Михайло</w:t>
      </w:r>
      <w:r w:rsidR="001049BE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вка по состоянию на 1</w:t>
      </w:r>
      <w:r w:rsidR="00D22DC4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1049BE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января 202</w:t>
      </w:r>
      <w:r w:rsidR="00D22DC4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года (ф. 0503317), представленный Администрацией городского округа  город</w:t>
      </w:r>
      <w:r w:rsidR="00707233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Михайловка к внешней проверке, в графах «утверждённые бюджетные назначения» по расходам содержит показатели не соответствующие утверждённым решением Думы о бюджете на 20</w:t>
      </w:r>
      <w:r w:rsidR="00561090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="00B53C25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2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год. Отклонение составило </w:t>
      </w:r>
      <w:r w:rsidR="00561090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5</w:t>
      </w:r>
      <w:r w:rsidR="00B53C25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2258</w:t>
      </w:r>
      <w:r w:rsidR="00561090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,</w:t>
      </w:r>
      <w:r w:rsidR="00B53C25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1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тыс. руб. (в сторону </w:t>
      </w:r>
      <w:r w:rsidR="00561090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увеличения</w:t>
      </w:r>
      <w:r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) доходной части бюджета. Данное расхождение сложилось за счёт изменения безвозмездных поступлений из областного </w:t>
      </w:r>
      <w:r w:rsidR="0052229B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бюджета в конце года</w:t>
      </w:r>
      <w:r w:rsidR="008C5797" w:rsidRPr="006F2F80">
        <w:rPr>
          <w:rFonts w:ascii="yandex-sans" w:eastAsia="Times New Roman" w:hAnsi="yandex-sans" w:cs="Times New Roman"/>
          <w:sz w:val="24"/>
          <w:szCs w:val="24"/>
          <w:lang w:eastAsia="ru-RU"/>
        </w:rPr>
        <w:t>: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- дотаций на поддержку мер по обеспечению сбалансированности местных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C25">
        <w:rPr>
          <w:rFonts w:ascii="Times New Roman" w:hAnsi="Times New Roman" w:cs="Times New Roman"/>
          <w:sz w:val="24"/>
          <w:szCs w:val="24"/>
        </w:rPr>
        <w:t>для решения отдельных вопросов местного значения в связи с развитием социальной инфраструктуры (увеличиваются на 1 200,0 тыс. рублей);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- субсидий местным бюджетам на софинансировани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C25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 в рамках реализации мероприятий по содействию создания новых мест в общеобразовательных организациях, расположенных в сельской местности и поселках городского типа (уменьшаются на 1 034,4 тыс. рублей);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- субсидий из областного бюджета бюджетам муниципальных образований Волгоградской области на обеспечение устойчивого сокращения непригодного для проживания жилищного фонда (уменьшаются на 18 551,4 тыс. рублей);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lastRenderedPageBreak/>
        <w:t>- субсидий из областного бюджета бюджетам муниципальных образований Волгоградской области на софинансирование обеспечения устойчивого сокращения непригодного для проживания жилищного фонда (уменьшаются на 367,6 тыс. рублей);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- субсидий на создание новых мест в общеобразовательных организациях, расположенных в сельской местности и поселках городского типа (увеличиваются на 64 394,3 тыс. рублей);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- субвенций на компенсацию (возмещение) выпадающих доходов ресурсо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3C25">
        <w:rPr>
          <w:rFonts w:ascii="Times New Roman" w:hAnsi="Times New Roman" w:cs="Times New Roman"/>
          <w:sz w:val="24"/>
          <w:szCs w:val="24"/>
        </w:rPr>
        <w:t>снабжающих организаций, связанных с применением льготных тарифов на коммунальные ресурсы (услуги) и техническую воду, поставляемые населению (уменьшаются на 1 519,4 тыс. рублей);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- иных межбюджетных трансфертов на выплату денежного поощрения лучшим комиссиям по делам несовершеннолетних и защиты их прав (увеличиваются на 50,0 тыс. рублей);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- иных межбюджетных трансфертов на финансовое обеспечение предоставления дополнительного образования детей в муниципальных образовательных организациях, реализующих дополнительные образовательные программы для детей (увеличиваются на 4 730,4 тыс. рублей);</w:t>
      </w:r>
    </w:p>
    <w:p w:rsidR="00B53C25" w:rsidRPr="00B53C25" w:rsidRDefault="00B53C25" w:rsidP="00B53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- иных межбюджетных трансфертов, предоставляемых в целях финансового обеспечения расходных обязательств, связанных с выполнением Указа Президента, в области культуры (увеличиваются на 3 356,2 тыс. рублей).</w:t>
      </w:r>
    </w:p>
    <w:p w:rsidR="00C94DC4" w:rsidRDefault="006B7F99" w:rsidP="008C57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EDE">
        <w:rPr>
          <w:rFonts w:ascii="Times New Roman" w:hAnsi="Times New Roman" w:cs="Times New Roman"/>
          <w:sz w:val="24"/>
          <w:szCs w:val="24"/>
        </w:rPr>
        <w:t>П</w:t>
      </w:r>
      <w:r w:rsidR="009C37F6" w:rsidRPr="00D61EDE">
        <w:rPr>
          <w:rFonts w:ascii="Times New Roman" w:hAnsi="Times New Roman" w:cs="Times New Roman"/>
          <w:sz w:val="24"/>
          <w:szCs w:val="24"/>
        </w:rPr>
        <w:t>лановые налоговые</w:t>
      </w:r>
      <w:r w:rsidR="009C37F6" w:rsidRPr="00425BF2">
        <w:rPr>
          <w:rFonts w:ascii="Times New Roman" w:hAnsi="Times New Roman" w:cs="Times New Roman"/>
          <w:sz w:val="24"/>
          <w:szCs w:val="24"/>
        </w:rPr>
        <w:t xml:space="preserve"> и неналоговые доходы бюджета городского округа город Михайловка в 202</w:t>
      </w:r>
      <w:r w:rsidR="0022338F">
        <w:rPr>
          <w:rFonts w:ascii="Times New Roman" w:hAnsi="Times New Roman" w:cs="Times New Roman"/>
          <w:sz w:val="24"/>
          <w:szCs w:val="24"/>
        </w:rPr>
        <w:t>2</w:t>
      </w:r>
      <w:r w:rsidR="009C37F6" w:rsidRPr="00425BF2">
        <w:rPr>
          <w:rFonts w:ascii="Times New Roman" w:hAnsi="Times New Roman" w:cs="Times New Roman"/>
          <w:sz w:val="24"/>
          <w:szCs w:val="24"/>
        </w:rPr>
        <w:t xml:space="preserve"> году исполнены на </w:t>
      </w:r>
      <w:r w:rsidR="0022338F">
        <w:rPr>
          <w:rFonts w:ascii="Times New Roman" w:hAnsi="Times New Roman" w:cs="Times New Roman"/>
          <w:sz w:val="24"/>
          <w:szCs w:val="24"/>
        </w:rPr>
        <w:t>102,8</w:t>
      </w:r>
      <w:r w:rsidR="009C37F6" w:rsidRPr="00425BF2">
        <w:rPr>
          <w:rFonts w:ascii="Times New Roman" w:hAnsi="Times New Roman" w:cs="Times New Roman"/>
          <w:sz w:val="24"/>
          <w:szCs w:val="24"/>
        </w:rPr>
        <w:t>% (</w:t>
      </w:r>
      <w:r w:rsidR="00484443">
        <w:rPr>
          <w:rFonts w:ascii="Times New Roman" w:hAnsi="Times New Roman" w:cs="Times New Roman"/>
          <w:sz w:val="24"/>
          <w:szCs w:val="24"/>
        </w:rPr>
        <w:t xml:space="preserve">в бюджет поступило на </w:t>
      </w:r>
      <w:r w:rsidR="00AE563B">
        <w:rPr>
          <w:rFonts w:ascii="Times New Roman" w:hAnsi="Times New Roman" w:cs="Times New Roman"/>
          <w:sz w:val="24"/>
          <w:szCs w:val="24"/>
        </w:rPr>
        <w:t>22566,0</w:t>
      </w:r>
      <w:r w:rsidR="009C37F6" w:rsidRPr="00425BF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84443">
        <w:rPr>
          <w:rFonts w:ascii="Times New Roman" w:hAnsi="Times New Roman" w:cs="Times New Roman"/>
          <w:sz w:val="24"/>
          <w:szCs w:val="24"/>
        </w:rPr>
        <w:t xml:space="preserve"> больше, чем планировалось</w:t>
      </w:r>
      <w:r w:rsidR="009C37F6" w:rsidRPr="00425BF2">
        <w:rPr>
          <w:rFonts w:ascii="Times New Roman" w:hAnsi="Times New Roman" w:cs="Times New Roman"/>
          <w:sz w:val="24"/>
          <w:szCs w:val="24"/>
        </w:rPr>
        <w:t>), в том числе налоговые доходы 10</w:t>
      </w:r>
      <w:r w:rsidR="002F5FE1">
        <w:rPr>
          <w:rFonts w:ascii="Times New Roman" w:hAnsi="Times New Roman" w:cs="Times New Roman"/>
          <w:sz w:val="24"/>
          <w:szCs w:val="24"/>
        </w:rPr>
        <w:t>3</w:t>
      </w:r>
      <w:r w:rsidR="009C37F6" w:rsidRPr="00425BF2">
        <w:rPr>
          <w:rFonts w:ascii="Times New Roman" w:hAnsi="Times New Roman" w:cs="Times New Roman"/>
          <w:sz w:val="24"/>
          <w:szCs w:val="24"/>
        </w:rPr>
        <w:t>,</w:t>
      </w:r>
      <w:r w:rsidR="002F5FE1">
        <w:rPr>
          <w:rFonts w:ascii="Times New Roman" w:hAnsi="Times New Roman" w:cs="Times New Roman"/>
          <w:sz w:val="24"/>
          <w:szCs w:val="24"/>
        </w:rPr>
        <w:t>4</w:t>
      </w:r>
      <w:r w:rsidR="009C37F6" w:rsidRPr="00425BF2">
        <w:rPr>
          <w:rFonts w:ascii="Times New Roman" w:hAnsi="Times New Roman" w:cs="Times New Roman"/>
          <w:sz w:val="24"/>
          <w:szCs w:val="24"/>
        </w:rPr>
        <w:t>% (</w:t>
      </w:r>
      <w:r w:rsidR="00484443">
        <w:rPr>
          <w:rFonts w:ascii="Times New Roman" w:hAnsi="Times New Roman" w:cs="Times New Roman"/>
          <w:sz w:val="24"/>
          <w:szCs w:val="24"/>
        </w:rPr>
        <w:t xml:space="preserve">поступило на </w:t>
      </w:r>
      <w:r w:rsidR="002F5FE1">
        <w:rPr>
          <w:rFonts w:ascii="Times New Roman" w:hAnsi="Times New Roman" w:cs="Times New Roman"/>
          <w:sz w:val="24"/>
          <w:szCs w:val="24"/>
        </w:rPr>
        <w:t>22563,6</w:t>
      </w:r>
      <w:r w:rsidR="009C37F6" w:rsidRPr="00425BF2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484443">
        <w:rPr>
          <w:rFonts w:ascii="Times New Roman" w:hAnsi="Times New Roman" w:cs="Times New Roman"/>
          <w:sz w:val="24"/>
          <w:szCs w:val="24"/>
        </w:rPr>
        <w:t xml:space="preserve"> больше, чем планировалось</w:t>
      </w:r>
      <w:r w:rsidR="009C37F6" w:rsidRPr="00425BF2">
        <w:rPr>
          <w:rFonts w:ascii="Times New Roman" w:hAnsi="Times New Roman" w:cs="Times New Roman"/>
          <w:sz w:val="24"/>
          <w:szCs w:val="24"/>
        </w:rPr>
        <w:t>).</w:t>
      </w:r>
    </w:p>
    <w:p w:rsidR="004A3E8A" w:rsidRPr="00425BF2" w:rsidRDefault="004A3E8A" w:rsidP="008C57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прогнозные показатели выполнены</w:t>
      </w:r>
    </w:p>
    <w:p w:rsidR="00B51C4B" w:rsidRDefault="0042000F" w:rsidP="00EF377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 целом</w:t>
      </w:r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а анализируемый период</w:t>
      </w:r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бюджет городского округа поступило </w:t>
      </w:r>
      <w:r w:rsidR="00C84705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402593,2</w:t>
      </w:r>
      <w:r w:rsidR="00306A6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тыс.руб. (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102,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</w:t>
      </w:r>
      <w:r w:rsidR="001922A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утвержденных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плановых назначений), в том числе: налогов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ые и неналоговые доходы – 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838106,2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102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,8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</w:t>
      </w:r>
      <w:r w:rsidR="00304315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безвозмездные поступления – 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1564487,0</w:t>
      </w:r>
      <w:r w:rsidR="00304315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96,5</w:t>
      </w:r>
      <w:r w:rsidR="007A22B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</w:p>
    <w:p w:rsidR="00F72521" w:rsidRPr="00425BF2" w:rsidRDefault="00F72521" w:rsidP="00EF377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 общей  сумме поступивших доходов доля налоговых и не</w:t>
      </w:r>
      <w:r w:rsidR="008B2BA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алоговых платежей составляет 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%, безвозмезд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ных поступлений –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5,1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%, в предыдущем году да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нное соотношение составляло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37,7 </w:t>
      </w:r>
      <w:r w:rsidR="00E25EE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25EE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62,3</w:t>
      </w:r>
      <w:r w:rsidR="00E25EE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25EE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 20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 </w:t>
      </w:r>
      <w:r w:rsidR="00D2469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году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1,0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и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9,0</w:t>
      </w:r>
      <w:r w:rsidR="008B2BA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, в 201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4,6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и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55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  соответственно.</w:t>
      </w:r>
    </w:p>
    <w:p w:rsidR="00F72521" w:rsidRPr="00425BF2" w:rsidRDefault="00304315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сравнению с 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r w:rsidR="0034680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дом, в 20</w:t>
      </w:r>
      <w:r w:rsidR="0014744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F913B6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общая сумма доходов  у</w:t>
      </w:r>
      <w:r w:rsidR="00F36BC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величи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лась на  </w:t>
      </w:r>
      <w:r w:rsidR="00467844">
        <w:rPr>
          <w:rFonts w:ascii="Times New Roman" w:eastAsia="Calibri" w:hAnsi="Times New Roman" w:cs="Times New Roman"/>
          <w:sz w:val="24"/>
          <w:szCs w:val="24"/>
          <w:lang w:eastAsia="ar-SA"/>
        </w:rPr>
        <w:t>28416</w:t>
      </w:r>
      <w:r w:rsidR="003B2430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467844">
        <w:rPr>
          <w:rFonts w:ascii="Times New Roman" w:eastAsia="Calibri" w:hAnsi="Times New Roman" w:cs="Times New Roman"/>
          <w:sz w:val="24"/>
          <w:szCs w:val="24"/>
          <w:lang w:eastAsia="ar-SA"/>
        </w:rPr>
        <w:t>,2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при этом  налоговы</w:t>
      </w:r>
      <w:r w:rsidR="008B2BA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е и неналоговые доходы у</w:t>
      </w:r>
      <w:r w:rsidR="00F36BC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величилис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ь на  </w:t>
      </w:r>
      <w:r w:rsidR="003B2430">
        <w:rPr>
          <w:rFonts w:ascii="Times New Roman" w:eastAsia="Calibri" w:hAnsi="Times New Roman" w:cs="Times New Roman"/>
          <w:sz w:val="24"/>
          <w:szCs w:val="24"/>
          <w:lang w:eastAsia="ar-SA"/>
        </w:rPr>
        <w:t>39655,0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 безвозмездные поступления  у</w:t>
      </w:r>
      <w:r w:rsidR="00AB529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велич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ились на  </w:t>
      </w:r>
      <w:r w:rsidR="009442E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67844">
        <w:rPr>
          <w:rFonts w:ascii="Times New Roman" w:eastAsia="Calibri" w:hAnsi="Times New Roman" w:cs="Times New Roman"/>
          <w:sz w:val="24"/>
          <w:szCs w:val="24"/>
          <w:lang w:eastAsia="ar-SA"/>
        </w:rPr>
        <w:t>44505</w:t>
      </w:r>
      <w:r w:rsidR="009442EB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46784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</w:t>
      </w:r>
    </w:p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Динамика поступлений общей суммы доходов, налоговых и неналоговых доходов в бюджет городског</w:t>
      </w:r>
      <w:r w:rsidR="003B2430">
        <w:rPr>
          <w:rFonts w:ascii="Times New Roman" w:eastAsia="Calibri" w:hAnsi="Times New Roman" w:cs="Times New Roman"/>
          <w:sz w:val="24"/>
          <w:szCs w:val="24"/>
          <w:lang w:eastAsia="ar-SA"/>
        </w:rPr>
        <w:t>о округа город Михайловка за 2020</w:t>
      </w:r>
      <w:r w:rsidR="008B2BAA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-20</w:t>
      </w:r>
      <w:r w:rsidR="00AC15A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3B2430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 представлена в следующей таблице:</w:t>
      </w:r>
    </w:p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3B24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</w:t>
      </w:r>
    </w:p>
    <w:tbl>
      <w:tblPr>
        <w:tblStyle w:val="afa"/>
        <w:tblW w:w="5000" w:type="pct"/>
        <w:tblLook w:val="04A0"/>
      </w:tblPr>
      <w:tblGrid>
        <w:gridCol w:w="1487"/>
        <w:gridCol w:w="1066"/>
        <w:gridCol w:w="666"/>
        <w:gridCol w:w="1066"/>
        <w:gridCol w:w="666"/>
        <w:gridCol w:w="967"/>
        <w:gridCol w:w="586"/>
        <w:gridCol w:w="981"/>
        <w:gridCol w:w="572"/>
        <w:gridCol w:w="944"/>
        <w:gridCol w:w="570"/>
      </w:tblGrid>
      <w:tr w:rsidR="00760E05" w:rsidRPr="00425BF2" w:rsidTr="00760E05">
        <w:tc>
          <w:tcPr>
            <w:tcW w:w="777" w:type="pct"/>
          </w:tcPr>
          <w:p w:rsidR="00760E05" w:rsidRPr="00425BF2" w:rsidRDefault="00760E05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57" w:type="pct"/>
            <w:vMerge w:val="restart"/>
          </w:tcPr>
          <w:p w:rsidR="00760E05" w:rsidRPr="003B2430" w:rsidRDefault="00760E05" w:rsidP="00703D97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2020</w:t>
            </w:r>
            <w:r w:rsidR="003B2430">
              <w:rPr>
                <w:rFonts w:eastAsia="Calibri"/>
                <w:b/>
                <w:lang w:eastAsia="ar-SA"/>
              </w:rPr>
              <w:t>г.</w:t>
            </w:r>
          </w:p>
          <w:p w:rsidR="00760E05" w:rsidRPr="003B2430" w:rsidRDefault="00760E05" w:rsidP="00703D97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48" w:type="pct"/>
            <w:vMerge w:val="restart"/>
            <w:textDirection w:val="btLr"/>
          </w:tcPr>
          <w:p w:rsidR="00760E05" w:rsidRPr="003B2430" w:rsidRDefault="00760E05" w:rsidP="00703D97">
            <w:pPr>
              <w:ind w:left="113" w:right="113"/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структура</w:t>
            </w:r>
          </w:p>
        </w:tc>
        <w:tc>
          <w:tcPr>
            <w:tcW w:w="557" w:type="pct"/>
            <w:vMerge w:val="restart"/>
          </w:tcPr>
          <w:p w:rsidR="00760E05" w:rsidRPr="003B2430" w:rsidRDefault="00760E05" w:rsidP="00703D97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2021</w:t>
            </w:r>
            <w:r w:rsidR="003B2430">
              <w:rPr>
                <w:rFonts w:eastAsia="Calibri"/>
                <w:b/>
                <w:lang w:eastAsia="ar-SA"/>
              </w:rPr>
              <w:t>г.</w:t>
            </w:r>
          </w:p>
        </w:tc>
        <w:tc>
          <w:tcPr>
            <w:tcW w:w="348" w:type="pct"/>
            <w:vMerge w:val="restart"/>
            <w:textDirection w:val="btLr"/>
          </w:tcPr>
          <w:p w:rsidR="00760E05" w:rsidRPr="003B2430" w:rsidRDefault="00760E05" w:rsidP="00703D97">
            <w:pPr>
              <w:ind w:left="113" w:right="113"/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структура</w:t>
            </w:r>
          </w:p>
        </w:tc>
        <w:tc>
          <w:tcPr>
            <w:tcW w:w="811" w:type="pct"/>
            <w:gridSpan w:val="2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Отклонения</w:t>
            </w:r>
          </w:p>
          <w:p w:rsidR="00760E05" w:rsidRPr="003B2430" w:rsidRDefault="00760E05" w:rsidP="00760E05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к 2020 году</w:t>
            </w:r>
          </w:p>
        </w:tc>
        <w:tc>
          <w:tcPr>
            <w:tcW w:w="512" w:type="pct"/>
            <w:vMerge w:val="restart"/>
          </w:tcPr>
          <w:p w:rsidR="00760E05" w:rsidRPr="003B2430" w:rsidRDefault="00760E05" w:rsidP="00760E05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2022</w:t>
            </w:r>
            <w:r w:rsidR="003B2430">
              <w:rPr>
                <w:rFonts w:eastAsia="Calibri"/>
                <w:b/>
                <w:lang w:eastAsia="ar-SA"/>
              </w:rPr>
              <w:t>г.</w:t>
            </w:r>
          </w:p>
        </w:tc>
        <w:tc>
          <w:tcPr>
            <w:tcW w:w="299" w:type="pct"/>
            <w:vMerge w:val="restart"/>
            <w:textDirection w:val="btLr"/>
          </w:tcPr>
          <w:p w:rsidR="00760E05" w:rsidRPr="003B2430" w:rsidRDefault="00760E05" w:rsidP="00F72521">
            <w:pPr>
              <w:ind w:left="113" w:right="113"/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структура</w:t>
            </w:r>
          </w:p>
        </w:tc>
        <w:tc>
          <w:tcPr>
            <w:tcW w:w="791" w:type="pct"/>
            <w:gridSpan w:val="2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Отклонения</w:t>
            </w:r>
          </w:p>
          <w:p w:rsidR="00760E05" w:rsidRPr="003B2430" w:rsidRDefault="00760E05" w:rsidP="00760E05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к 2021году</w:t>
            </w:r>
          </w:p>
        </w:tc>
      </w:tr>
      <w:tr w:rsidR="00760E05" w:rsidRPr="00425BF2" w:rsidTr="00760E05">
        <w:tc>
          <w:tcPr>
            <w:tcW w:w="777" w:type="pct"/>
          </w:tcPr>
          <w:p w:rsidR="00760E05" w:rsidRPr="00425BF2" w:rsidRDefault="00760E05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57" w:type="pct"/>
            <w:vMerge/>
          </w:tcPr>
          <w:p w:rsidR="00760E05" w:rsidRPr="003B2430" w:rsidRDefault="00760E05" w:rsidP="00F72521">
            <w:pPr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8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557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48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505" w:type="pct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тыс. руб.</w:t>
            </w:r>
          </w:p>
        </w:tc>
        <w:tc>
          <w:tcPr>
            <w:tcW w:w="306" w:type="pct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%</w:t>
            </w:r>
          </w:p>
        </w:tc>
        <w:tc>
          <w:tcPr>
            <w:tcW w:w="512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99" w:type="pct"/>
            <w:vMerge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493" w:type="pct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тыс. руб.</w:t>
            </w:r>
          </w:p>
        </w:tc>
        <w:tc>
          <w:tcPr>
            <w:tcW w:w="298" w:type="pct"/>
          </w:tcPr>
          <w:p w:rsidR="00760E05" w:rsidRPr="003B2430" w:rsidRDefault="00760E05" w:rsidP="00F72521">
            <w:pPr>
              <w:jc w:val="center"/>
              <w:rPr>
                <w:rFonts w:eastAsia="Calibri"/>
                <w:b/>
                <w:lang w:eastAsia="ar-SA"/>
              </w:rPr>
            </w:pPr>
            <w:r w:rsidRPr="003B2430">
              <w:rPr>
                <w:rFonts w:eastAsia="Calibri"/>
                <w:b/>
                <w:lang w:eastAsia="ar-SA"/>
              </w:rPr>
              <w:t>%</w:t>
            </w:r>
          </w:p>
        </w:tc>
      </w:tr>
      <w:tr w:rsidR="00760E05" w:rsidRPr="00425BF2" w:rsidTr="00760E05">
        <w:tc>
          <w:tcPr>
            <w:tcW w:w="777" w:type="pct"/>
          </w:tcPr>
          <w:p w:rsidR="00760E05" w:rsidRPr="00425BF2" w:rsidRDefault="00760E05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Налоговые и неналоговые</w:t>
            </w:r>
          </w:p>
        </w:tc>
        <w:tc>
          <w:tcPr>
            <w:tcW w:w="557" w:type="pct"/>
          </w:tcPr>
          <w:p w:rsidR="00760E05" w:rsidRPr="00425BF2" w:rsidRDefault="00760E05" w:rsidP="00703D97">
            <w:r w:rsidRPr="00425BF2">
              <w:t>730523,6</w:t>
            </w:r>
          </w:p>
        </w:tc>
        <w:tc>
          <w:tcPr>
            <w:tcW w:w="348" w:type="pct"/>
          </w:tcPr>
          <w:p w:rsidR="00760E05" w:rsidRPr="00425BF2" w:rsidRDefault="00760E05" w:rsidP="00703D97">
            <w:r w:rsidRPr="00425BF2">
              <w:t>41,0</w:t>
            </w:r>
          </w:p>
        </w:tc>
        <w:tc>
          <w:tcPr>
            <w:tcW w:w="557" w:type="pct"/>
          </w:tcPr>
          <w:p w:rsidR="00760E05" w:rsidRPr="00425BF2" w:rsidRDefault="00760E05" w:rsidP="00703D97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798451,2</w:t>
            </w:r>
          </w:p>
        </w:tc>
        <w:tc>
          <w:tcPr>
            <w:tcW w:w="348" w:type="pct"/>
          </w:tcPr>
          <w:p w:rsidR="00760E05" w:rsidRPr="00425BF2" w:rsidRDefault="00760E05" w:rsidP="00703D97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37,7</w:t>
            </w:r>
          </w:p>
        </w:tc>
        <w:tc>
          <w:tcPr>
            <w:tcW w:w="505" w:type="pct"/>
          </w:tcPr>
          <w:p w:rsidR="00760E05" w:rsidRPr="00425BF2" w:rsidRDefault="003F76C1" w:rsidP="009B1A0E">
            <w:r>
              <w:t>67927,6</w:t>
            </w:r>
          </w:p>
        </w:tc>
        <w:tc>
          <w:tcPr>
            <w:tcW w:w="306" w:type="pct"/>
          </w:tcPr>
          <w:p w:rsidR="00760E05" w:rsidRPr="00425BF2" w:rsidRDefault="003F76C1" w:rsidP="009B1A0E">
            <w:r>
              <w:t>8,5</w:t>
            </w:r>
          </w:p>
        </w:tc>
        <w:tc>
          <w:tcPr>
            <w:tcW w:w="512" w:type="pct"/>
          </w:tcPr>
          <w:p w:rsidR="00760E05" w:rsidRPr="00425BF2" w:rsidRDefault="00C30B80" w:rsidP="000C4A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838106,2</w:t>
            </w:r>
          </w:p>
        </w:tc>
        <w:tc>
          <w:tcPr>
            <w:tcW w:w="299" w:type="pct"/>
          </w:tcPr>
          <w:p w:rsidR="00760E05" w:rsidRPr="00425BF2" w:rsidRDefault="00C30B80" w:rsidP="00C30B80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493" w:type="pct"/>
          </w:tcPr>
          <w:p w:rsidR="00760E05" w:rsidRPr="00425BF2" w:rsidRDefault="003B2430" w:rsidP="007C6D8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39655,0</w:t>
            </w:r>
          </w:p>
        </w:tc>
        <w:tc>
          <w:tcPr>
            <w:tcW w:w="298" w:type="pct"/>
          </w:tcPr>
          <w:p w:rsidR="00760E05" w:rsidRPr="00425BF2" w:rsidRDefault="003B2430" w:rsidP="002F5878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4,7</w:t>
            </w:r>
          </w:p>
        </w:tc>
      </w:tr>
      <w:tr w:rsidR="00760E05" w:rsidRPr="00425BF2" w:rsidTr="00760E05">
        <w:tc>
          <w:tcPr>
            <w:tcW w:w="777" w:type="pct"/>
          </w:tcPr>
          <w:p w:rsidR="00760E05" w:rsidRPr="00425BF2" w:rsidRDefault="00760E05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налоговые</w:t>
            </w:r>
          </w:p>
        </w:tc>
        <w:tc>
          <w:tcPr>
            <w:tcW w:w="557" w:type="pct"/>
          </w:tcPr>
          <w:p w:rsidR="00760E05" w:rsidRPr="00425BF2" w:rsidRDefault="00760E05" w:rsidP="00703D97">
            <w:r w:rsidRPr="00425BF2">
              <w:t>601641,2</w:t>
            </w:r>
          </w:p>
        </w:tc>
        <w:tc>
          <w:tcPr>
            <w:tcW w:w="348" w:type="pct"/>
          </w:tcPr>
          <w:p w:rsidR="00760E05" w:rsidRPr="00425BF2" w:rsidRDefault="00760E05" w:rsidP="00703D97">
            <w:r w:rsidRPr="00425BF2">
              <w:t>33,8</w:t>
            </w:r>
          </w:p>
        </w:tc>
        <w:tc>
          <w:tcPr>
            <w:tcW w:w="557" w:type="pct"/>
          </w:tcPr>
          <w:p w:rsidR="00760E05" w:rsidRPr="00425BF2" w:rsidRDefault="00760E05" w:rsidP="00703D97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648036,0</w:t>
            </w:r>
          </w:p>
        </w:tc>
        <w:tc>
          <w:tcPr>
            <w:tcW w:w="348" w:type="pct"/>
          </w:tcPr>
          <w:p w:rsidR="00760E05" w:rsidRPr="00425BF2" w:rsidRDefault="00760E05" w:rsidP="00703D97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30,6</w:t>
            </w:r>
          </w:p>
        </w:tc>
        <w:tc>
          <w:tcPr>
            <w:tcW w:w="505" w:type="pct"/>
          </w:tcPr>
          <w:p w:rsidR="00760E05" w:rsidRPr="00425BF2" w:rsidRDefault="003F76C1" w:rsidP="009B1A0E">
            <w:r>
              <w:t>46394,8</w:t>
            </w:r>
          </w:p>
        </w:tc>
        <w:tc>
          <w:tcPr>
            <w:tcW w:w="306" w:type="pct"/>
          </w:tcPr>
          <w:p w:rsidR="00760E05" w:rsidRPr="00425BF2" w:rsidRDefault="003F76C1" w:rsidP="009B1A0E">
            <w:r>
              <w:t>7,2</w:t>
            </w:r>
          </w:p>
        </w:tc>
        <w:tc>
          <w:tcPr>
            <w:tcW w:w="512" w:type="pct"/>
          </w:tcPr>
          <w:p w:rsidR="00760E05" w:rsidRPr="00425BF2" w:rsidRDefault="00F621C7" w:rsidP="000C4A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692222,9</w:t>
            </w:r>
          </w:p>
        </w:tc>
        <w:tc>
          <w:tcPr>
            <w:tcW w:w="299" w:type="pct"/>
          </w:tcPr>
          <w:p w:rsidR="00760E05" w:rsidRPr="00425BF2" w:rsidRDefault="00C30B80" w:rsidP="000C4AF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28,8</w:t>
            </w:r>
          </w:p>
        </w:tc>
        <w:tc>
          <w:tcPr>
            <w:tcW w:w="493" w:type="pct"/>
          </w:tcPr>
          <w:p w:rsidR="00760E05" w:rsidRPr="00425BF2" w:rsidRDefault="003B2430" w:rsidP="007C6D8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44186,9</w:t>
            </w:r>
          </w:p>
        </w:tc>
        <w:tc>
          <w:tcPr>
            <w:tcW w:w="298" w:type="pct"/>
          </w:tcPr>
          <w:p w:rsidR="00760E05" w:rsidRPr="00425BF2" w:rsidRDefault="003B2430" w:rsidP="007B4C90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6,4</w:t>
            </w:r>
          </w:p>
        </w:tc>
      </w:tr>
      <w:tr w:rsidR="00760E05" w:rsidRPr="00425BF2" w:rsidTr="00760E05">
        <w:tc>
          <w:tcPr>
            <w:tcW w:w="777" w:type="pct"/>
          </w:tcPr>
          <w:p w:rsidR="00760E05" w:rsidRPr="00425BF2" w:rsidRDefault="00760E05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неналоговые</w:t>
            </w:r>
          </w:p>
        </w:tc>
        <w:tc>
          <w:tcPr>
            <w:tcW w:w="557" w:type="pct"/>
          </w:tcPr>
          <w:p w:rsidR="00760E05" w:rsidRPr="00425BF2" w:rsidRDefault="00760E05" w:rsidP="00703D97">
            <w:r w:rsidRPr="00425BF2">
              <w:t>128882,4</w:t>
            </w:r>
          </w:p>
        </w:tc>
        <w:tc>
          <w:tcPr>
            <w:tcW w:w="348" w:type="pct"/>
          </w:tcPr>
          <w:p w:rsidR="00760E05" w:rsidRPr="00425BF2" w:rsidRDefault="00760E05" w:rsidP="00703D97">
            <w:r w:rsidRPr="00425BF2">
              <w:t>7,2</w:t>
            </w:r>
          </w:p>
        </w:tc>
        <w:tc>
          <w:tcPr>
            <w:tcW w:w="557" w:type="pct"/>
          </w:tcPr>
          <w:p w:rsidR="00760E05" w:rsidRPr="00425BF2" w:rsidRDefault="00760E05" w:rsidP="00703D97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150415,2</w:t>
            </w:r>
          </w:p>
        </w:tc>
        <w:tc>
          <w:tcPr>
            <w:tcW w:w="348" w:type="pct"/>
          </w:tcPr>
          <w:p w:rsidR="00760E05" w:rsidRPr="00425BF2" w:rsidRDefault="00760E05" w:rsidP="00703D97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7,1</w:t>
            </w:r>
          </w:p>
        </w:tc>
        <w:tc>
          <w:tcPr>
            <w:tcW w:w="505" w:type="pct"/>
          </w:tcPr>
          <w:p w:rsidR="00760E05" w:rsidRPr="00425BF2" w:rsidRDefault="003F76C1" w:rsidP="009B1A0E">
            <w:r>
              <w:t>21532,8</w:t>
            </w:r>
          </w:p>
        </w:tc>
        <w:tc>
          <w:tcPr>
            <w:tcW w:w="306" w:type="pct"/>
          </w:tcPr>
          <w:p w:rsidR="00760E05" w:rsidRPr="00425BF2" w:rsidRDefault="003F76C1" w:rsidP="009B1A0E">
            <w:r>
              <w:t>14,3</w:t>
            </w:r>
          </w:p>
        </w:tc>
        <w:tc>
          <w:tcPr>
            <w:tcW w:w="512" w:type="pct"/>
          </w:tcPr>
          <w:p w:rsidR="00760E05" w:rsidRPr="00425BF2" w:rsidRDefault="00F621C7" w:rsidP="00565304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145883,3</w:t>
            </w:r>
          </w:p>
        </w:tc>
        <w:tc>
          <w:tcPr>
            <w:tcW w:w="299" w:type="pct"/>
          </w:tcPr>
          <w:p w:rsidR="00760E05" w:rsidRPr="00425BF2" w:rsidRDefault="00C30B80" w:rsidP="00AB529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6,1</w:t>
            </w:r>
          </w:p>
        </w:tc>
        <w:tc>
          <w:tcPr>
            <w:tcW w:w="493" w:type="pct"/>
          </w:tcPr>
          <w:p w:rsidR="00760E05" w:rsidRPr="00425BF2" w:rsidRDefault="003B2430" w:rsidP="007C6D8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-4531,9</w:t>
            </w:r>
          </w:p>
        </w:tc>
        <w:tc>
          <w:tcPr>
            <w:tcW w:w="298" w:type="pct"/>
          </w:tcPr>
          <w:p w:rsidR="00760E05" w:rsidRPr="00425BF2" w:rsidRDefault="007311CD" w:rsidP="007B4C90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3,0</w:t>
            </w:r>
          </w:p>
        </w:tc>
      </w:tr>
      <w:tr w:rsidR="00760E05" w:rsidRPr="00425BF2" w:rsidTr="00760E05">
        <w:tc>
          <w:tcPr>
            <w:tcW w:w="777" w:type="pct"/>
          </w:tcPr>
          <w:p w:rsidR="00760E05" w:rsidRPr="00425BF2" w:rsidRDefault="00760E05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безвозмездные поступления</w:t>
            </w:r>
          </w:p>
        </w:tc>
        <w:tc>
          <w:tcPr>
            <w:tcW w:w="557" w:type="pct"/>
          </w:tcPr>
          <w:p w:rsidR="00760E05" w:rsidRPr="00425BF2" w:rsidRDefault="00760E05" w:rsidP="00703D97">
            <w:r w:rsidRPr="00425BF2">
              <w:t>1051735,1</w:t>
            </w:r>
          </w:p>
        </w:tc>
        <w:tc>
          <w:tcPr>
            <w:tcW w:w="348" w:type="pct"/>
          </w:tcPr>
          <w:p w:rsidR="00760E05" w:rsidRPr="00425BF2" w:rsidRDefault="00760E05" w:rsidP="00703D97">
            <w:r w:rsidRPr="00425BF2">
              <w:t>59,0</w:t>
            </w:r>
          </w:p>
        </w:tc>
        <w:tc>
          <w:tcPr>
            <w:tcW w:w="557" w:type="pct"/>
          </w:tcPr>
          <w:p w:rsidR="00760E05" w:rsidRPr="00425BF2" w:rsidRDefault="00760E05" w:rsidP="00703D97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1319981,8</w:t>
            </w:r>
          </w:p>
        </w:tc>
        <w:tc>
          <w:tcPr>
            <w:tcW w:w="348" w:type="pct"/>
          </w:tcPr>
          <w:p w:rsidR="00760E05" w:rsidRPr="00425BF2" w:rsidRDefault="00760E05" w:rsidP="00703D97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25BF2">
              <w:rPr>
                <w:rFonts w:eastAsia="Calibri"/>
                <w:sz w:val="18"/>
                <w:szCs w:val="18"/>
                <w:lang w:eastAsia="ar-SA"/>
              </w:rPr>
              <w:t>62,3</w:t>
            </w:r>
          </w:p>
        </w:tc>
        <w:tc>
          <w:tcPr>
            <w:tcW w:w="505" w:type="pct"/>
          </w:tcPr>
          <w:p w:rsidR="00760E05" w:rsidRPr="00425BF2" w:rsidRDefault="003F76C1" w:rsidP="009B1A0E">
            <w:r>
              <w:t>268246,7</w:t>
            </w:r>
          </w:p>
        </w:tc>
        <w:tc>
          <w:tcPr>
            <w:tcW w:w="306" w:type="pct"/>
          </w:tcPr>
          <w:p w:rsidR="00760E05" w:rsidRPr="00425BF2" w:rsidRDefault="003F76C1" w:rsidP="009B1A0E">
            <w:r>
              <w:t>20,3</w:t>
            </w:r>
          </w:p>
        </w:tc>
        <w:tc>
          <w:tcPr>
            <w:tcW w:w="512" w:type="pct"/>
          </w:tcPr>
          <w:p w:rsidR="00760E05" w:rsidRPr="00425BF2" w:rsidRDefault="00F621C7" w:rsidP="00800F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1564487,0</w:t>
            </w:r>
          </w:p>
        </w:tc>
        <w:tc>
          <w:tcPr>
            <w:tcW w:w="299" w:type="pct"/>
          </w:tcPr>
          <w:p w:rsidR="00760E05" w:rsidRPr="00425BF2" w:rsidRDefault="00C30B80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65,1</w:t>
            </w:r>
          </w:p>
        </w:tc>
        <w:tc>
          <w:tcPr>
            <w:tcW w:w="493" w:type="pct"/>
          </w:tcPr>
          <w:p w:rsidR="00760E05" w:rsidRPr="00425BF2" w:rsidRDefault="003B2430" w:rsidP="002F5878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244505,2</w:t>
            </w:r>
          </w:p>
        </w:tc>
        <w:tc>
          <w:tcPr>
            <w:tcW w:w="298" w:type="pct"/>
          </w:tcPr>
          <w:p w:rsidR="00760E05" w:rsidRPr="00425BF2" w:rsidRDefault="00467844" w:rsidP="00FA3D0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15,6</w:t>
            </w:r>
          </w:p>
        </w:tc>
      </w:tr>
      <w:tr w:rsidR="00760E05" w:rsidRPr="00425BF2" w:rsidTr="00760E05">
        <w:tc>
          <w:tcPr>
            <w:tcW w:w="777" w:type="pct"/>
          </w:tcPr>
          <w:p w:rsidR="00760E05" w:rsidRPr="003B2430" w:rsidRDefault="00760E05" w:rsidP="003B2430">
            <w:pPr>
              <w:tabs>
                <w:tab w:val="left" w:pos="915"/>
              </w:tabs>
              <w:jc w:val="both"/>
              <w:rPr>
                <w:rFonts w:eastAsia="Calibri" w:cs="Calibri"/>
                <w:b/>
                <w:lang w:eastAsia="ar-SA"/>
              </w:rPr>
            </w:pPr>
            <w:r w:rsidRPr="003B2430">
              <w:rPr>
                <w:rFonts w:eastAsia="Calibri" w:cs="Calibri"/>
                <w:b/>
                <w:lang w:eastAsia="ar-SA"/>
              </w:rPr>
              <w:t>Итого</w:t>
            </w:r>
            <w:r w:rsidR="003B2430" w:rsidRPr="003B2430">
              <w:rPr>
                <w:rFonts w:eastAsia="Calibri" w:cs="Calibri"/>
                <w:b/>
                <w:lang w:eastAsia="ar-SA"/>
              </w:rPr>
              <w:tab/>
            </w:r>
          </w:p>
        </w:tc>
        <w:tc>
          <w:tcPr>
            <w:tcW w:w="557" w:type="pct"/>
          </w:tcPr>
          <w:p w:rsidR="00760E05" w:rsidRPr="003B2430" w:rsidRDefault="00760E05" w:rsidP="00703D97">
            <w:pPr>
              <w:rPr>
                <w:b/>
              </w:rPr>
            </w:pPr>
            <w:r w:rsidRPr="003B2430">
              <w:rPr>
                <w:b/>
              </w:rPr>
              <w:t>1782258,7</w:t>
            </w:r>
          </w:p>
        </w:tc>
        <w:tc>
          <w:tcPr>
            <w:tcW w:w="348" w:type="pct"/>
          </w:tcPr>
          <w:p w:rsidR="00760E05" w:rsidRPr="003B2430" w:rsidRDefault="00760E05" w:rsidP="00703D97">
            <w:pPr>
              <w:rPr>
                <w:b/>
              </w:rPr>
            </w:pPr>
            <w:r w:rsidRPr="003B2430">
              <w:rPr>
                <w:b/>
              </w:rPr>
              <w:t>100,0</w:t>
            </w:r>
          </w:p>
        </w:tc>
        <w:tc>
          <w:tcPr>
            <w:tcW w:w="557" w:type="pct"/>
          </w:tcPr>
          <w:p w:rsidR="00760E05" w:rsidRPr="003B2430" w:rsidRDefault="00760E05" w:rsidP="00703D97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2118433,0</w:t>
            </w:r>
          </w:p>
        </w:tc>
        <w:tc>
          <w:tcPr>
            <w:tcW w:w="348" w:type="pct"/>
          </w:tcPr>
          <w:p w:rsidR="00760E05" w:rsidRPr="003B2430" w:rsidRDefault="00760E05" w:rsidP="00703D97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05" w:type="pct"/>
          </w:tcPr>
          <w:p w:rsidR="00760E05" w:rsidRPr="003B2430" w:rsidRDefault="00F913B6" w:rsidP="009B1A0E">
            <w:pPr>
              <w:rPr>
                <w:b/>
              </w:rPr>
            </w:pPr>
            <w:r w:rsidRPr="003B2430">
              <w:rPr>
                <w:b/>
              </w:rPr>
              <w:t>336174,3</w:t>
            </w:r>
          </w:p>
        </w:tc>
        <w:tc>
          <w:tcPr>
            <w:tcW w:w="306" w:type="pct"/>
          </w:tcPr>
          <w:p w:rsidR="00760E05" w:rsidRPr="003B2430" w:rsidRDefault="00F913B6" w:rsidP="009B1A0E">
            <w:pPr>
              <w:rPr>
                <w:b/>
              </w:rPr>
            </w:pPr>
            <w:r w:rsidRPr="003B2430">
              <w:rPr>
                <w:b/>
              </w:rPr>
              <w:t>15,9</w:t>
            </w:r>
          </w:p>
        </w:tc>
        <w:tc>
          <w:tcPr>
            <w:tcW w:w="512" w:type="pct"/>
          </w:tcPr>
          <w:p w:rsidR="00760E05" w:rsidRPr="003B2430" w:rsidRDefault="00C30B80" w:rsidP="000C4AFB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2402593,2</w:t>
            </w:r>
          </w:p>
        </w:tc>
        <w:tc>
          <w:tcPr>
            <w:tcW w:w="299" w:type="pct"/>
          </w:tcPr>
          <w:p w:rsidR="00760E05" w:rsidRPr="003B2430" w:rsidRDefault="00760E05" w:rsidP="00F72521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3B2430">
              <w:rPr>
                <w:rFonts w:eastAsia="Calibri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93" w:type="pct"/>
          </w:tcPr>
          <w:p w:rsidR="00760E05" w:rsidRPr="003B2430" w:rsidRDefault="00467844" w:rsidP="007C6D8B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284160,2</w:t>
            </w:r>
          </w:p>
        </w:tc>
        <w:tc>
          <w:tcPr>
            <w:tcW w:w="298" w:type="pct"/>
          </w:tcPr>
          <w:p w:rsidR="00760E05" w:rsidRPr="003B2430" w:rsidRDefault="00467844" w:rsidP="00505121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>11,8</w:t>
            </w:r>
          </w:p>
        </w:tc>
      </w:tr>
    </w:tbl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6B0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Из таблицы видно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 что ежегодные налоговые и неналоговые доходы г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ородского округа</w:t>
      </w:r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период с  2020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20</w:t>
      </w:r>
      <w:r w:rsidR="002D0A8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B31B68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  <w:r w:rsidR="004025F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D0A8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увеличились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r w:rsidR="002D0A8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30523</w:t>
      </w:r>
      <w:r w:rsidR="002D0A8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2D0A8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до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838106,2 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4,7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%), </w:t>
      </w:r>
      <w:r w:rsidR="00B31B68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при этом налоговые доходы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увеличились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01641,2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руб. до 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92222,9 тыс. руб.(+15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%)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 неналоговые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доходы 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28882,4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20F2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руб. до </w:t>
      </w:r>
      <w:r w:rsidR="007304A2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45883,3</w:t>
      </w:r>
      <w:r w:rsidR="00297FD6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руб.(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+13,2</w:t>
      </w:r>
      <w:r w:rsidR="008D471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%)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72521" w:rsidRDefault="007304A2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анализируемом периоде наблюдается 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увеличение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как</w:t>
      </w:r>
      <w:r w:rsidR="00EA127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налоговых,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так</w:t>
      </w:r>
      <w:r w:rsidR="00EA127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r w:rsidR="00FC5D4E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не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8D471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алоговых доходов</w:t>
      </w:r>
      <w:r w:rsidR="00D61EDE">
        <w:rPr>
          <w:rFonts w:ascii="Times New Roman" w:eastAsia="Calibri" w:hAnsi="Times New Roman" w:cs="Times New Roman"/>
          <w:sz w:val="24"/>
          <w:szCs w:val="24"/>
          <w:lang w:eastAsia="ar-SA"/>
        </w:rPr>
        <w:t>, хотя по отно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шению к предыдущему году неналоговые поступления уменьшились на 4531,9 тыс.руб.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51C4B" w:rsidRPr="00425BF2" w:rsidRDefault="00B51C4B" w:rsidP="00B51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Следует отметить, что доля налоговых и неналоговых доходов 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общей структуре доходов имеет тенденцию 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>к снижению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(в 20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– 41,0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>%, в 202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4,9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613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Также следует отметить, что </w:t>
      </w:r>
      <w:r w:rsidR="00550868" w:rsidRPr="005508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снижается 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>доля налоговых доходов (в 20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–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33,8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>%, в 202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2 году – 28,8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%), </w:t>
      </w:r>
      <w:r w:rsidR="00510E64" w:rsidRPr="00510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доля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r w:rsidR="00510E64" w:rsidRPr="00510E64">
        <w:rPr>
          <w:rFonts w:ascii="Times New Roman" w:eastAsia="Calibri" w:hAnsi="Times New Roman" w:cs="Times New Roman"/>
          <w:sz w:val="24"/>
          <w:szCs w:val="24"/>
          <w:lang w:eastAsia="ar-SA"/>
        </w:rPr>
        <w:t>неналогов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ых доходов, </w:t>
      </w:r>
      <w:r w:rsidR="00510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также </w:t>
      </w:r>
      <w:r w:rsidR="002C2595" w:rsidRPr="002C25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снижается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(в 2020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–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7,2%, в 2022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– 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6C48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,1%). 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Доля безвозмездных поступлений </w:t>
      </w:r>
      <w:r w:rsidR="00550868" w:rsidRPr="005508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общей структуре доходов 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>увеличилась (с 5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>% до 6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550868">
        <w:rPr>
          <w:rFonts w:ascii="Times New Roman" w:eastAsia="Calibri" w:hAnsi="Times New Roman" w:cs="Times New Roman"/>
          <w:sz w:val="24"/>
          <w:szCs w:val="24"/>
          <w:lang w:eastAsia="ar-SA"/>
        </w:rPr>
        <w:t>%).</w:t>
      </w:r>
    </w:p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5F666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B2101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EA127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структуре налоговых и неналоговых доходов городского бюджета налоговые доходы составляют 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>82</w:t>
      </w:r>
      <w:r w:rsidR="005F666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%, а ненал</w:t>
      </w:r>
      <w:r w:rsidR="008D471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оговые доходы </w:t>
      </w:r>
      <w:r w:rsidR="005F666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>7,4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</w:t>
      </w:r>
    </w:p>
    <w:p w:rsidR="00F72521" w:rsidRPr="00425BF2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На диаграмме приведена информация о структуре налоговых </w:t>
      </w:r>
      <w:r w:rsidR="008D471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доходов городского округа в 20</w:t>
      </w:r>
      <w:r w:rsidR="00EA127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году.</w:t>
      </w:r>
    </w:p>
    <w:p w:rsidR="00082439" w:rsidRPr="00425BF2" w:rsidRDefault="0051640C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noProof/>
          <w:lang w:eastAsia="ru-RU"/>
        </w:rPr>
        <w:drawing>
          <wp:inline distT="0" distB="0" distL="0" distR="0">
            <wp:extent cx="6248400" cy="42386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796B" w:rsidRDefault="0080796B" w:rsidP="00365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57DF" w:rsidRPr="00425BF2" w:rsidRDefault="00F72521" w:rsidP="00365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Наибольший удельный вес в структуре налоговых доходов по-прежнему занимает на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лог на доходы физических лиц</w:t>
      </w:r>
      <w:r w:rsidR="00703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>- 72,4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 (</w:t>
      </w:r>
      <w:r w:rsidR="00990DB6">
        <w:rPr>
          <w:rFonts w:ascii="Times New Roman" w:eastAsia="Calibri" w:hAnsi="Times New Roman" w:cs="Times New Roman"/>
          <w:sz w:val="24"/>
          <w:szCs w:val="24"/>
          <w:lang w:eastAsia="ar-SA"/>
        </w:rPr>
        <w:t>500981,5</w:t>
      </w:r>
      <w:r w:rsidR="000F1E3C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руб.). В общей сумме налоговых доходов, доля на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логов на имущество составляет </w:t>
      </w:r>
      <w:r w:rsidR="001F41E2">
        <w:rPr>
          <w:rFonts w:ascii="Times New Roman" w:eastAsia="Calibri" w:hAnsi="Times New Roman" w:cs="Times New Roman"/>
          <w:sz w:val="24"/>
          <w:szCs w:val="24"/>
          <w:lang w:eastAsia="ar-SA"/>
        </w:rPr>
        <w:t>9,6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66288,6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руб.)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 налоги на совокупный доход</w:t>
      </w:r>
      <w:r w:rsidR="00061C9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10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,9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(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75100,1</w:t>
      </w:r>
      <w:r w:rsidR="000F1E3C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руб.),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доходы от уплаты акцизов – 5,7% (39439,3 ты</w:t>
      </w:r>
      <w:r w:rsidR="0035022A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98207E">
        <w:rPr>
          <w:rFonts w:ascii="Times New Roman" w:eastAsia="Calibri" w:hAnsi="Times New Roman" w:cs="Times New Roman"/>
          <w:sz w:val="24"/>
          <w:szCs w:val="24"/>
          <w:lang w:eastAsia="ar-SA"/>
        </w:rPr>
        <w:t>.руб.)</w:t>
      </w:r>
      <w:r w:rsidR="00C241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госпошлина  </w:t>
      </w:r>
      <w:r w:rsidR="00C572F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</w:t>
      </w:r>
      <w:r w:rsidR="001F41E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3D02F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% (</w:t>
      </w:r>
      <w:r w:rsidR="001F41E2">
        <w:rPr>
          <w:rFonts w:ascii="Times New Roman" w:eastAsia="Calibri" w:hAnsi="Times New Roman" w:cs="Times New Roman"/>
          <w:sz w:val="24"/>
          <w:szCs w:val="24"/>
          <w:lang w:eastAsia="ar-SA"/>
        </w:rPr>
        <w:t>10415,</w:t>
      </w:r>
      <w:r w:rsidR="000F1E3C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руб.).</w:t>
      </w:r>
    </w:p>
    <w:p w:rsidR="00E923EA" w:rsidRPr="00E70FB6" w:rsidRDefault="00F72521" w:rsidP="00E923EA">
      <w:pPr>
        <w:spacing w:after="0" w:line="240" w:lineRule="auto"/>
        <w:ind w:firstLine="709"/>
        <w:jc w:val="both"/>
        <w:rPr>
          <w:lang w:eastAsia="ru-RU"/>
        </w:rPr>
      </w:pPr>
      <w:r w:rsidRPr="00425BF2">
        <w:rPr>
          <w:rFonts w:ascii="Times New Roman" w:eastAsia="Calibri" w:hAnsi="Times New Roman"/>
          <w:sz w:val="24"/>
          <w:szCs w:val="24"/>
        </w:rPr>
        <w:t>Анализ структуры налоговых платежей по</w:t>
      </w:r>
      <w:r w:rsidR="000F1E3C" w:rsidRPr="00425BF2">
        <w:rPr>
          <w:rFonts w:ascii="Times New Roman" w:eastAsia="Calibri" w:hAnsi="Times New Roman"/>
          <w:sz w:val="24"/>
          <w:szCs w:val="24"/>
        </w:rPr>
        <w:t>казывает, что в сравнении с 202</w:t>
      </w:r>
      <w:r w:rsidR="0098207E">
        <w:rPr>
          <w:rFonts w:ascii="Times New Roman" w:eastAsia="Calibri" w:hAnsi="Times New Roman"/>
          <w:sz w:val="24"/>
          <w:szCs w:val="24"/>
        </w:rPr>
        <w:t>1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 годом</w:t>
      </w:r>
      <w:r w:rsidR="00061C94" w:rsidRPr="00425BF2">
        <w:rPr>
          <w:rFonts w:ascii="Times New Roman" w:eastAsia="Calibri" w:hAnsi="Times New Roman"/>
          <w:sz w:val="24"/>
          <w:szCs w:val="24"/>
        </w:rPr>
        <w:t>,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 у</w:t>
      </w:r>
      <w:r w:rsidR="000028E4" w:rsidRPr="00425BF2">
        <w:rPr>
          <w:rFonts w:ascii="Times New Roman" w:eastAsia="Calibri" w:hAnsi="Times New Roman"/>
          <w:sz w:val="24"/>
          <w:szCs w:val="24"/>
        </w:rPr>
        <w:t>велич</w:t>
      </w:r>
      <w:r w:rsidR="00C2415F" w:rsidRPr="00425BF2">
        <w:rPr>
          <w:rFonts w:ascii="Times New Roman" w:eastAsia="Calibri" w:hAnsi="Times New Roman"/>
          <w:sz w:val="24"/>
          <w:szCs w:val="24"/>
        </w:rPr>
        <w:t xml:space="preserve">ился удельный вес НДФЛ </w:t>
      </w:r>
      <w:r w:rsidR="001406CC" w:rsidRPr="00425BF2">
        <w:rPr>
          <w:rFonts w:ascii="Times New Roman" w:eastAsia="Calibri" w:hAnsi="Times New Roman"/>
          <w:sz w:val="24"/>
          <w:szCs w:val="24"/>
        </w:rPr>
        <w:t>(с 6</w:t>
      </w:r>
      <w:r w:rsidR="0098207E">
        <w:rPr>
          <w:rFonts w:ascii="Times New Roman" w:eastAsia="Calibri" w:hAnsi="Times New Roman"/>
          <w:sz w:val="24"/>
          <w:szCs w:val="24"/>
        </w:rPr>
        <w:t>9</w:t>
      </w:r>
      <w:r w:rsidR="001406CC" w:rsidRPr="00425BF2">
        <w:rPr>
          <w:rFonts w:ascii="Times New Roman" w:eastAsia="Calibri" w:hAnsi="Times New Roman"/>
          <w:sz w:val="24"/>
          <w:szCs w:val="24"/>
        </w:rPr>
        <w:t>,</w:t>
      </w:r>
      <w:r w:rsidR="000028E4" w:rsidRPr="00425BF2">
        <w:rPr>
          <w:rFonts w:ascii="Times New Roman" w:eastAsia="Calibri" w:hAnsi="Times New Roman"/>
          <w:sz w:val="24"/>
          <w:szCs w:val="24"/>
        </w:rPr>
        <w:t>0</w:t>
      </w:r>
      <w:r w:rsidR="0098207E">
        <w:rPr>
          <w:rFonts w:ascii="Times New Roman" w:eastAsia="Calibri" w:hAnsi="Times New Roman"/>
          <w:sz w:val="24"/>
          <w:szCs w:val="24"/>
        </w:rPr>
        <w:t xml:space="preserve"> % до 72,4</w:t>
      </w:r>
      <w:r w:rsidR="00C2415F" w:rsidRPr="00425BF2">
        <w:rPr>
          <w:rFonts w:ascii="Times New Roman" w:eastAsia="Calibri" w:hAnsi="Times New Roman"/>
          <w:sz w:val="24"/>
          <w:szCs w:val="24"/>
        </w:rPr>
        <w:t>%),</w:t>
      </w:r>
      <w:r w:rsidR="0098207E">
        <w:rPr>
          <w:rFonts w:ascii="Times New Roman" w:eastAsia="Calibri" w:hAnsi="Times New Roman"/>
          <w:sz w:val="24"/>
          <w:szCs w:val="24"/>
        </w:rPr>
        <w:t xml:space="preserve"> </w:t>
      </w:r>
      <w:r w:rsidR="0049154F" w:rsidRPr="00425BF2">
        <w:rPr>
          <w:rFonts w:ascii="Times New Roman" w:eastAsia="Calibri" w:hAnsi="Times New Roman"/>
          <w:sz w:val="24"/>
          <w:szCs w:val="24"/>
        </w:rPr>
        <w:t xml:space="preserve">доля поступлений 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от </w:t>
      </w:r>
      <w:r w:rsidR="004F509F" w:rsidRPr="00425BF2">
        <w:rPr>
          <w:rFonts w:ascii="Times New Roman" w:eastAsia="Calibri" w:hAnsi="Times New Roman"/>
          <w:sz w:val="24"/>
          <w:szCs w:val="24"/>
        </w:rPr>
        <w:t>ЕНВД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 у</w:t>
      </w:r>
      <w:r w:rsidR="00DD0DBB" w:rsidRPr="00425BF2">
        <w:rPr>
          <w:rFonts w:ascii="Times New Roman" w:eastAsia="Calibri" w:hAnsi="Times New Roman"/>
          <w:sz w:val="24"/>
          <w:szCs w:val="24"/>
        </w:rPr>
        <w:t>меньш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илась (с </w:t>
      </w:r>
      <w:r w:rsidR="0098207E">
        <w:rPr>
          <w:rFonts w:ascii="Times New Roman" w:eastAsia="Calibri" w:hAnsi="Times New Roman"/>
          <w:sz w:val="24"/>
          <w:szCs w:val="24"/>
        </w:rPr>
        <w:t>1</w:t>
      </w:r>
      <w:r w:rsidR="001406CC" w:rsidRPr="00425BF2">
        <w:rPr>
          <w:rFonts w:ascii="Times New Roman" w:eastAsia="Calibri" w:hAnsi="Times New Roman"/>
          <w:sz w:val="24"/>
          <w:szCs w:val="24"/>
        </w:rPr>
        <w:t>,</w:t>
      </w:r>
      <w:r w:rsidR="000028E4" w:rsidRPr="00425BF2">
        <w:rPr>
          <w:rFonts w:ascii="Times New Roman" w:eastAsia="Calibri" w:hAnsi="Times New Roman"/>
          <w:sz w:val="24"/>
          <w:szCs w:val="24"/>
        </w:rPr>
        <w:t>0</w:t>
      </w:r>
      <w:r w:rsidR="001406CC" w:rsidRPr="00425BF2">
        <w:rPr>
          <w:rFonts w:ascii="Times New Roman" w:eastAsia="Calibri" w:hAnsi="Times New Roman"/>
          <w:sz w:val="24"/>
          <w:szCs w:val="24"/>
        </w:rPr>
        <w:t xml:space="preserve">% до </w:t>
      </w:r>
      <w:r w:rsidR="0098207E">
        <w:rPr>
          <w:rFonts w:ascii="Times New Roman" w:eastAsia="Calibri" w:hAnsi="Times New Roman"/>
          <w:sz w:val="24"/>
          <w:szCs w:val="24"/>
        </w:rPr>
        <w:t>0,01</w:t>
      </w:r>
      <w:r w:rsidR="000C7C94" w:rsidRPr="00425BF2">
        <w:rPr>
          <w:rFonts w:ascii="Times New Roman" w:eastAsia="Calibri" w:hAnsi="Times New Roman"/>
          <w:sz w:val="24"/>
          <w:szCs w:val="24"/>
        </w:rPr>
        <w:t>%)</w:t>
      </w:r>
      <w:r w:rsidR="00061C94" w:rsidRPr="00425BF2">
        <w:rPr>
          <w:rFonts w:ascii="Times New Roman" w:eastAsia="Calibri" w:hAnsi="Times New Roman"/>
          <w:sz w:val="24"/>
          <w:szCs w:val="24"/>
        </w:rPr>
        <w:t>, что</w:t>
      </w:r>
      <w:r w:rsidR="004A09ED" w:rsidRPr="00425BF2">
        <w:rPr>
          <w:rFonts w:ascii="Times New Roman" w:eastAsia="Calibri" w:hAnsi="Times New Roman"/>
          <w:sz w:val="24"/>
          <w:szCs w:val="24"/>
        </w:rPr>
        <w:t xml:space="preserve"> объясняется </w:t>
      </w:r>
      <w:r w:rsidR="000C7C94" w:rsidRPr="00425BF2">
        <w:rPr>
          <w:rFonts w:ascii="Times New Roman" w:eastAsia="Calibri" w:hAnsi="Times New Roman"/>
          <w:sz w:val="24"/>
          <w:szCs w:val="24"/>
        </w:rPr>
        <w:t xml:space="preserve">изменением </w:t>
      </w:r>
      <w:r w:rsidR="004F509F" w:rsidRPr="00425BF2">
        <w:rPr>
          <w:rFonts w:ascii="Times New Roman" w:eastAsia="Calibri" w:hAnsi="Times New Roman"/>
          <w:sz w:val="24"/>
          <w:szCs w:val="24"/>
        </w:rPr>
        <w:t xml:space="preserve">налогового законодательства </w:t>
      </w:r>
      <w:r w:rsidR="000D6C43">
        <w:rPr>
          <w:rFonts w:ascii="Times New Roman" w:eastAsia="Calibri" w:hAnsi="Times New Roman"/>
          <w:sz w:val="24"/>
          <w:szCs w:val="24"/>
        </w:rPr>
        <w:t>(</w:t>
      </w:r>
      <w:r w:rsidR="004F509F" w:rsidRPr="00425BF2">
        <w:rPr>
          <w:rFonts w:ascii="Times New Roman" w:eastAsia="Calibri" w:hAnsi="Times New Roman"/>
          <w:sz w:val="24"/>
          <w:szCs w:val="24"/>
        </w:rPr>
        <w:t>с 01 января 2021 года данный спец</w:t>
      </w:r>
      <w:r w:rsidR="00A71687" w:rsidRPr="00425BF2">
        <w:rPr>
          <w:rFonts w:ascii="Times New Roman" w:eastAsia="Calibri" w:hAnsi="Times New Roman"/>
          <w:sz w:val="24"/>
          <w:szCs w:val="24"/>
        </w:rPr>
        <w:t xml:space="preserve">иальный налоговый режим отменен, а применявшие его налогоплательщики были обязаны перейти на иной вид </w:t>
      </w:r>
      <w:r w:rsidR="00A71687" w:rsidRPr="00425BF2">
        <w:rPr>
          <w:rFonts w:ascii="Times New Roman" w:eastAsia="Calibri" w:hAnsi="Times New Roman"/>
          <w:sz w:val="24"/>
          <w:szCs w:val="24"/>
        </w:rPr>
        <w:lastRenderedPageBreak/>
        <w:t>налогообложения</w:t>
      </w:r>
      <w:r w:rsidR="000D6C43">
        <w:rPr>
          <w:rFonts w:ascii="Times New Roman" w:eastAsia="Calibri" w:hAnsi="Times New Roman"/>
          <w:sz w:val="24"/>
          <w:szCs w:val="24"/>
        </w:rPr>
        <w:t>)</w:t>
      </w:r>
      <w:r w:rsidR="00A71687" w:rsidRPr="00425BF2">
        <w:rPr>
          <w:rFonts w:ascii="Times New Roman" w:eastAsia="Calibri" w:hAnsi="Times New Roman"/>
          <w:sz w:val="24"/>
          <w:szCs w:val="24"/>
        </w:rPr>
        <w:t xml:space="preserve">. Отмена </w:t>
      </w:r>
      <w:r w:rsidR="0055152D">
        <w:rPr>
          <w:rFonts w:ascii="Times New Roman" w:eastAsia="Calibri" w:hAnsi="Times New Roman"/>
          <w:sz w:val="24"/>
          <w:szCs w:val="24"/>
        </w:rPr>
        <w:t>ЕНВД</w:t>
      </w:r>
      <w:r w:rsidR="0098207E">
        <w:rPr>
          <w:rFonts w:ascii="Times New Roman" w:eastAsia="Calibri" w:hAnsi="Times New Roman"/>
          <w:sz w:val="24"/>
          <w:szCs w:val="24"/>
        </w:rPr>
        <w:t xml:space="preserve"> </w:t>
      </w:r>
      <w:r w:rsidR="0086491E" w:rsidRPr="00425BF2">
        <w:rPr>
          <w:rFonts w:ascii="Times New Roman" w:eastAsia="Calibri" w:hAnsi="Times New Roman"/>
          <w:sz w:val="24"/>
          <w:szCs w:val="24"/>
        </w:rPr>
        <w:t xml:space="preserve">повлекла увеличение налогоплательщиков, перешедших на патентную систему налогообложения и УСН. </w:t>
      </w:r>
      <w:r w:rsidR="00A71687" w:rsidRPr="00425BF2">
        <w:rPr>
          <w:rFonts w:ascii="Times New Roman" w:eastAsia="Calibri" w:hAnsi="Times New Roman"/>
          <w:sz w:val="24"/>
          <w:szCs w:val="24"/>
        </w:rPr>
        <w:t>Доля поступлений от налога на патент, УСН</w:t>
      </w:r>
      <w:r w:rsidR="00703D97">
        <w:rPr>
          <w:rFonts w:ascii="Times New Roman" w:eastAsia="Calibri" w:hAnsi="Times New Roman"/>
          <w:sz w:val="24"/>
          <w:szCs w:val="24"/>
        </w:rPr>
        <w:t xml:space="preserve"> </w:t>
      </w:r>
      <w:r w:rsidR="00703D97" w:rsidRPr="00E923EA">
        <w:rPr>
          <w:rFonts w:ascii="Times New Roman" w:eastAsia="Calibri" w:hAnsi="Times New Roman" w:cs="Times New Roman"/>
          <w:sz w:val="24"/>
          <w:szCs w:val="24"/>
        </w:rPr>
        <w:t>значительно увеличилась</w:t>
      </w:r>
      <w:r w:rsidR="0086491E" w:rsidRPr="00E923EA">
        <w:rPr>
          <w:rFonts w:ascii="Times New Roman" w:eastAsia="Calibri" w:hAnsi="Times New Roman" w:cs="Times New Roman"/>
          <w:sz w:val="24"/>
          <w:szCs w:val="24"/>
        </w:rPr>
        <w:t>,</w:t>
      </w:r>
      <w:r w:rsidR="0098207E" w:rsidRPr="00E92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A98" w:rsidRPr="00E923EA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 w:rsidR="0086491E" w:rsidRPr="00E923EA">
        <w:rPr>
          <w:rFonts w:ascii="Times New Roman" w:eastAsia="Calibri" w:hAnsi="Times New Roman" w:cs="Times New Roman"/>
          <w:sz w:val="24"/>
          <w:szCs w:val="24"/>
        </w:rPr>
        <w:t>единого сельскохозяйственного налога</w:t>
      </w:r>
      <w:r w:rsidR="00703D97" w:rsidRPr="00E92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FBB" w:rsidRPr="00E923EA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703D97" w:rsidRPr="00E923EA">
        <w:rPr>
          <w:rFonts w:ascii="Times New Roman" w:eastAsia="Calibri" w:hAnsi="Times New Roman" w:cs="Times New Roman"/>
          <w:sz w:val="24"/>
          <w:szCs w:val="24"/>
        </w:rPr>
        <w:t>меньшил</w:t>
      </w:r>
      <w:r w:rsidR="00A71687" w:rsidRPr="00E923EA">
        <w:rPr>
          <w:rFonts w:ascii="Times New Roman" w:eastAsia="Calibri" w:hAnsi="Times New Roman" w:cs="Times New Roman"/>
          <w:sz w:val="24"/>
          <w:szCs w:val="24"/>
        </w:rPr>
        <w:t xml:space="preserve">ась </w:t>
      </w:r>
      <w:r w:rsidR="00185A98" w:rsidRPr="00E923EA">
        <w:rPr>
          <w:rFonts w:ascii="Times New Roman" w:eastAsia="Calibri" w:hAnsi="Times New Roman" w:cs="Times New Roman"/>
          <w:sz w:val="24"/>
          <w:szCs w:val="24"/>
        </w:rPr>
        <w:t>на 5809,4тыс.руб. относительно 2021г</w:t>
      </w:r>
      <w:r w:rsidR="00E923EA">
        <w:rPr>
          <w:rFonts w:ascii="Times New Roman" w:eastAsia="Calibri" w:hAnsi="Times New Roman" w:cs="Times New Roman"/>
          <w:sz w:val="24"/>
          <w:szCs w:val="24"/>
        </w:rPr>
        <w:t>, н</w:t>
      </w:r>
      <w:r w:rsidR="00E923EA" w:rsidRPr="00E923EA">
        <w:rPr>
          <w:rFonts w:ascii="Times New Roman" w:hAnsi="Times New Roman" w:cs="Times New Roman"/>
          <w:sz w:val="24"/>
          <w:szCs w:val="24"/>
          <w:lang w:eastAsia="ru-RU"/>
        </w:rPr>
        <w:t xml:space="preserve">алоговая база по </w:t>
      </w:r>
      <w:r w:rsidR="00E923EA">
        <w:rPr>
          <w:rFonts w:ascii="Times New Roman" w:hAnsi="Times New Roman" w:cs="Times New Roman"/>
          <w:sz w:val="24"/>
          <w:szCs w:val="24"/>
          <w:lang w:eastAsia="ru-RU"/>
        </w:rPr>
        <w:t>сельхоз.налогу</w:t>
      </w:r>
      <w:r w:rsidR="00E923EA" w:rsidRPr="00E923EA">
        <w:rPr>
          <w:rFonts w:ascii="Times New Roman" w:hAnsi="Times New Roman" w:cs="Times New Roman"/>
          <w:sz w:val="24"/>
          <w:szCs w:val="24"/>
          <w:lang w:eastAsia="ru-RU"/>
        </w:rPr>
        <w:t>, согласно данным налоговой отчетности, снижается на 17,4%. Основными причинами снижения исполнения являлись: переход некоторых налогоплательщиков на общую систему налогообложения; приобретение основных средств, а также получение убытков.</w:t>
      </w:r>
    </w:p>
    <w:p w:rsidR="00645F41" w:rsidRPr="00425BF2" w:rsidRDefault="0086491E" w:rsidP="00E923E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F2">
        <w:rPr>
          <w:rFonts w:ascii="Times New Roman" w:eastAsia="Calibri" w:hAnsi="Times New Roman"/>
          <w:sz w:val="24"/>
          <w:szCs w:val="24"/>
        </w:rPr>
        <w:t>Доля поступлений от налога на имущество</w:t>
      </w:r>
      <w:r w:rsidR="00703D97">
        <w:rPr>
          <w:rFonts w:ascii="Times New Roman" w:eastAsia="Calibri" w:hAnsi="Times New Roman"/>
          <w:sz w:val="24"/>
          <w:szCs w:val="24"/>
        </w:rPr>
        <w:t xml:space="preserve"> физических лиц незначительно увеличилась (с 1</w:t>
      </w:r>
      <w:r w:rsidRPr="00425BF2">
        <w:rPr>
          <w:rFonts w:ascii="Times New Roman" w:eastAsia="Calibri" w:hAnsi="Times New Roman"/>
          <w:sz w:val="24"/>
          <w:szCs w:val="24"/>
        </w:rPr>
        <w:t>,0 % до 1,</w:t>
      </w:r>
      <w:r w:rsidR="00703D97">
        <w:rPr>
          <w:rFonts w:ascii="Times New Roman" w:eastAsia="Calibri" w:hAnsi="Times New Roman"/>
          <w:sz w:val="24"/>
          <w:szCs w:val="24"/>
        </w:rPr>
        <w:t>6</w:t>
      </w:r>
      <w:r w:rsidRPr="00425BF2">
        <w:rPr>
          <w:rFonts w:ascii="Times New Roman" w:eastAsia="Calibri" w:hAnsi="Times New Roman"/>
          <w:sz w:val="24"/>
          <w:szCs w:val="24"/>
        </w:rPr>
        <w:t>%), что обусловлено изменением налогового законодательства, в части определения налоговой базы исходя из кадастровой стоимости объектов налогообложения.</w:t>
      </w:r>
      <w:r w:rsidR="00760E05">
        <w:rPr>
          <w:rFonts w:ascii="Times New Roman" w:eastAsia="Calibri" w:hAnsi="Times New Roman"/>
          <w:sz w:val="24"/>
          <w:szCs w:val="24"/>
        </w:rPr>
        <w:t xml:space="preserve"> </w:t>
      </w:r>
      <w:r w:rsidR="0055152D" w:rsidRPr="0055152D">
        <w:rPr>
          <w:rFonts w:ascii="Times New Roman" w:eastAsia="Calibri" w:hAnsi="Times New Roman"/>
          <w:sz w:val="24"/>
          <w:szCs w:val="24"/>
        </w:rPr>
        <w:t xml:space="preserve">Одновременно с этим, на первые три налоговых периода установлены понижающие коэффициенты, а также производились </w:t>
      </w:r>
      <w:r w:rsidR="00E923EA">
        <w:rPr>
          <w:rFonts w:ascii="Times New Roman" w:eastAsia="Calibri" w:hAnsi="Times New Roman"/>
          <w:sz w:val="24"/>
          <w:szCs w:val="24"/>
        </w:rPr>
        <w:t>зачеты и возвраты налога в другие имущественные налоги.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Анализ фактического исполнения доходной части бюджета городского округа в разрезе</w:t>
      </w:r>
      <w:r w:rsidR="00645F4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отдельных видов доходов за 20</w:t>
      </w:r>
      <w:r w:rsidR="00DD0DBB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E923EA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</w:t>
      </w:r>
      <w:r w:rsidR="00061C94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сра</w:t>
      </w:r>
      <w:r w:rsidR="00061C94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внении с плановыми показателями,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представлен в приложении №1.</w:t>
      </w:r>
    </w:p>
    <w:p w:rsidR="00F72521" w:rsidRPr="00425BF2" w:rsidRDefault="00F72521" w:rsidP="00F72521">
      <w:pPr>
        <w:spacing w:after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Анализ структуры доходов бюджета городского</w:t>
      </w:r>
      <w:r w:rsidR="00645F4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20</w:t>
      </w:r>
      <w:r w:rsidR="0086491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C459DE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показал:</w:t>
      </w:r>
    </w:p>
    <w:p w:rsidR="00F72521" w:rsidRPr="00425BF2" w:rsidRDefault="00F72521" w:rsidP="00F224A4">
      <w:pPr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            Налоговые и неналоговые доходы бюджета</w:t>
      </w:r>
      <w:r w:rsidR="00645F41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в 20</w:t>
      </w:r>
      <w:r w:rsidR="009A4257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2</w:t>
      </w:r>
      <w:r w:rsidR="00C459DE">
        <w:rPr>
          <w:rFonts w:ascii="Times New Roman" w:eastAsia="Calibri" w:hAnsi="Times New Roman" w:cs="Calibri"/>
          <w:iCs/>
          <w:sz w:val="24"/>
          <w:szCs w:val="24"/>
          <w:lang w:eastAsia="ar-SA"/>
        </w:rPr>
        <w:t>2</w:t>
      </w:r>
      <w:r w:rsidR="004B2ACA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году </w:t>
      </w:r>
      <w:r w:rsidR="00DD0DBB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увелич</w:t>
      </w:r>
      <w:r w:rsidR="004B2ACA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и</w:t>
      </w:r>
      <w:r w:rsidR="00645F41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ли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сь в абсолютном значении на </w:t>
      </w:r>
      <w:r w:rsidR="009A6F36">
        <w:rPr>
          <w:rFonts w:ascii="Times New Roman" w:eastAsia="Calibri" w:hAnsi="Times New Roman" w:cs="Calibri"/>
          <w:iCs/>
          <w:sz w:val="24"/>
          <w:szCs w:val="24"/>
          <w:lang w:eastAsia="ar-SA"/>
        </w:rPr>
        <w:t>39655,0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тыс. ру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б.,  в процентном отношении </w:t>
      </w:r>
      <w:r w:rsidR="00136393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снизились 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на </w:t>
      </w:r>
      <w:r w:rsidR="009A6F36">
        <w:rPr>
          <w:rFonts w:ascii="Times New Roman" w:eastAsia="Calibri" w:hAnsi="Times New Roman" w:cs="Calibri"/>
          <w:iCs/>
          <w:sz w:val="24"/>
          <w:szCs w:val="24"/>
          <w:lang w:eastAsia="ar-SA"/>
        </w:rPr>
        <w:t>2,8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процентных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пункт</w:t>
      </w:r>
      <w:r w:rsidR="004B2ACA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а и составили </w:t>
      </w:r>
      <w:r w:rsidR="009A6F36">
        <w:rPr>
          <w:rFonts w:ascii="Times New Roman" w:eastAsia="Calibri" w:hAnsi="Times New Roman" w:cs="Calibri"/>
          <w:iCs/>
          <w:sz w:val="24"/>
          <w:szCs w:val="24"/>
          <w:lang w:eastAsia="ar-SA"/>
        </w:rPr>
        <w:t>838106,2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тыс. руб. или  </w:t>
      </w:r>
      <w:r w:rsidR="00607D0C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3</w:t>
      </w:r>
      <w:r w:rsidR="009A6F36">
        <w:rPr>
          <w:rFonts w:ascii="Times New Roman" w:eastAsia="Calibri" w:hAnsi="Times New Roman" w:cs="Calibri"/>
          <w:iCs/>
          <w:sz w:val="24"/>
          <w:szCs w:val="24"/>
          <w:lang w:eastAsia="ar-SA"/>
        </w:rPr>
        <w:t>4,9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% в общей сумме доходов бюджета городского округа. На изменение доли налоговых и н</w:t>
      </w:r>
      <w:r w:rsidR="00EE1E36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еналоговых доходов повлияло увелич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ение суммы поступлений по </w:t>
      </w:r>
      <w:r w:rsidR="00B83F50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безвозмездным поступлениям</w:t>
      </w:r>
      <w:r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, как в абсолютном, так и в относительном значении</w:t>
      </w:r>
      <w:r w:rsidR="00716DFD" w:rsidRPr="00425BF2">
        <w:rPr>
          <w:rFonts w:ascii="Times New Roman" w:eastAsia="Calibri" w:hAnsi="Times New Roman" w:cs="Calibri"/>
          <w:iCs/>
          <w:sz w:val="24"/>
          <w:szCs w:val="24"/>
          <w:lang w:eastAsia="ar-SA"/>
        </w:rPr>
        <w:t>.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Доля безвозмездных поступлений </w:t>
      </w:r>
      <w:r w:rsidR="00716DF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бюджет городского округа  </w:t>
      </w:r>
      <w:r w:rsidR="00B83F50"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увеличилась на </w:t>
      </w:r>
      <w:r w:rsidR="00F224A4"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>2,8</w:t>
      </w:r>
      <w:r w:rsidR="00716DFD"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процентных</w:t>
      </w:r>
      <w:r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пункт</w:t>
      </w:r>
      <w:r w:rsidR="00716DFD"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716DFD"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этом </w:t>
      </w:r>
      <w:r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>абсолютная величина безвозмездных поступлений у</w:t>
      </w:r>
      <w:r w:rsidR="00B83F50"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>велич</w:t>
      </w:r>
      <w:r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илась на </w:t>
      </w:r>
      <w:r w:rsidR="00F224A4" w:rsidRPr="00F224A4">
        <w:rPr>
          <w:rFonts w:ascii="Times New Roman" w:eastAsia="Calibri" w:hAnsi="Times New Roman" w:cs="Times New Roman"/>
          <w:sz w:val="24"/>
          <w:szCs w:val="24"/>
          <w:lang w:eastAsia="ar-SA"/>
        </w:rPr>
        <w:t>244505,2</w:t>
      </w:r>
      <w:r w:rsidR="00F224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p w:rsidR="00F72521" w:rsidRDefault="00037354" w:rsidP="00F72521">
      <w:pPr>
        <w:spacing w:after="1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Безвозмездные поступления в 20</w:t>
      </w:r>
      <w:r w:rsidR="00607D0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F224A4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F7252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составили </w:t>
      </w:r>
      <w:r w:rsidR="00607D0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F224A4">
        <w:rPr>
          <w:rFonts w:ascii="Times New Roman" w:eastAsia="Calibri" w:hAnsi="Times New Roman" w:cs="Calibri"/>
          <w:sz w:val="24"/>
          <w:szCs w:val="24"/>
          <w:lang w:eastAsia="ar-SA"/>
        </w:rPr>
        <w:t>564487,0</w:t>
      </w:r>
      <w:r w:rsidR="006831A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(</w:t>
      </w:r>
      <w:r w:rsidR="00607D0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="00F224A4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="00607D0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F224A4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F72521" w:rsidRPr="00425BF2">
        <w:rPr>
          <w:rFonts w:ascii="Times New Roman" w:eastAsia="Calibri" w:hAnsi="Times New Roman" w:cs="Calibri"/>
          <w:sz w:val="24"/>
          <w:szCs w:val="24"/>
          <w:lang w:eastAsia="ar-SA"/>
        </w:rPr>
        <w:t>%).</w:t>
      </w:r>
    </w:p>
    <w:p w:rsidR="00F224A4" w:rsidRPr="00425BF2" w:rsidRDefault="00F224A4" w:rsidP="00F72521">
      <w:pPr>
        <w:spacing w:after="1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B3CB1" w:rsidRPr="00425BF2" w:rsidRDefault="006B6835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noProof/>
          <w:lang w:eastAsia="ru-RU"/>
        </w:rPr>
        <w:drawing>
          <wp:inline distT="0" distB="0" distL="0" distR="0">
            <wp:extent cx="5448300" cy="20764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CB1" w:rsidRPr="00425BF2" w:rsidRDefault="006B3CB1" w:rsidP="00FB2120">
      <w:pPr>
        <w:pBdr>
          <w:bottom w:val="single" w:sz="4" w:space="1" w:color="auto"/>
        </w:pBd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A25E2" w:rsidRPr="00425BF2" w:rsidRDefault="005A25E2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A25E2" w:rsidRPr="00425BF2" w:rsidRDefault="005A25E2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A25E2" w:rsidRPr="00425BF2" w:rsidRDefault="005A25E2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A25E2" w:rsidRPr="00425BF2" w:rsidRDefault="005A25E2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A25E2" w:rsidRPr="00425BF2" w:rsidRDefault="005A25E2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657DF" w:rsidRPr="00425BF2" w:rsidRDefault="003657DF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77663" w:rsidRPr="00425BF2" w:rsidRDefault="00F72521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b/>
          <w:lang w:eastAsia="ar-SA"/>
        </w:rPr>
      </w:pPr>
      <w:r w:rsidRPr="00425BF2">
        <w:rPr>
          <w:rFonts w:ascii="Times New Roman" w:eastAsia="Calibri" w:hAnsi="Times New Roman" w:cs="Calibri"/>
          <w:b/>
          <w:lang w:eastAsia="ar-SA"/>
        </w:rPr>
        <w:t>Ди</w:t>
      </w:r>
      <w:r w:rsidR="001653BF" w:rsidRPr="00425BF2">
        <w:rPr>
          <w:rFonts w:ascii="Times New Roman" w:eastAsia="Calibri" w:hAnsi="Times New Roman" w:cs="Calibri"/>
          <w:b/>
          <w:lang w:eastAsia="ar-SA"/>
        </w:rPr>
        <w:t>намика изменения  доходов в 20</w:t>
      </w:r>
      <w:r w:rsidR="005612DD" w:rsidRPr="00425BF2">
        <w:rPr>
          <w:rFonts w:ascii="Times New Roman" w:eastAsia="Calibri" w:hAnsi="Times New Roman" w:cs="Calibri"/>
          <w:b/>
          <w:lang w:eastAsia="ar-SA"/>
        </w:rPr>
        <w:t>2</w:t>
      </w:r>
      <w:r w:rsidR="00F224A4">
        <w:rPr>
          <w:rFonts w:ascii="Times New Roman" w:eastAsia="Calibri" w:hAnsi="Times New Roman" w:cs="Calibri"/>
          <w:b/>
          <w:lang w:eastAsia="ar-SA"/>
        </w:rPr>
        <w:t>2</w:t>
      </w:r>
      <w:r w:rsidR="007A127E" w:rsidRPr="00425BF2">
        <w:rPr>
          <w:rFonts w:ascii="Times New Roman" w:eastAsia="Calibri" w:hAnsi="Times New Roman" w:cs="Calibri"/>
          <w:b/>
          <w:lang w:eastAsia="ar-SA"/>
        </w:rPr>
        <w:t xml:space="preserve"> году по отношению к 202</w:t>
      </w:r>
      <w:r w:rsidR="00F224A4">
        <w:rPr>
          <w:rFonts w:ascii="Times New Roman" w:eastAsia="Calibri" w:hAnsi="Times New Roman" w:cs="Calibri"/>
          <w:b/>
          <w:lang w:eastAsia="ar-SA"/>
        </w:rPr>
        <w:t>1</w:t>
      </w:r>
      <w:r w:rsidR="00E75661" w:rsidRPr="00425BF2">
        <w:rPr>
          <w:rFonts w:ascii="Times New Roman" w:eastAsia="Calibri" w:hAnsi="Times New Roman" w:cs="Calibri"/>
          <w:b/>
          <w:lang w:eastAsia="ar-SA"/>
        </w:rPr>
        <w:t xml:space="preserve"> году       </w:t>
      </w:r>
    </w:p>
    <w:p w:rsidR="00077663" w:rsidRPr="00425BF2" w:rsidRDefault="00077663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b/>
          <w:lang w:eastAsia="ar-SA"/>
        </w:rPr>
      </w:pPr>
    </w:p>
    <w:p w:rsidR="000075C8" w:rsidRPr="00425BF2" w:rsidRDefault="00F72521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lang w:eastAsia="ar-SA"/>
        </w:rPr>
      </w:pPr>
      <w:r w:rsidRPr="00425BF2">
        <w:rPr>
          <w:rFonts w:ascii="Times New Roman" w:eastAsia="Calibri" w:hAnsi="Times New Roman" w:cs="Calibri"/>
          <w:lang w:eastAsia="ar-SA"/>
        </w:rPr>
        <w:t xml:space="preserve">тыс. руб.  </w:t>
      </w:r>
    </w:p>
    <w:p w:rsidR="00F72521" w:rsidRPr="00425BF2" w:rsidRDefault="007C1DC8" w:rsidP="00F7252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lang w:eastAsia="ar-SA"/>
        </w:rPr>
      </w:pPr>
      <w:r w:rsidRPr="00425BF2">
        <w:rPr>
          <w:rFonts w:ascii="Times New Roman" w:eastAsia="Calibri" w:hAnsi="Times New Roman" w:cs="Calibri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22D1" w:rsidRDefault="00FF6489" w:rsidP="00FF6489">
      <w:pPr>
        <w:pBdr>
          <w:bottom w:val="single" w:sz="4" w:space="1" w:color="auto"/>
        </w:pBd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</w:t>
      </w:r>
    </w:p>
    <w:p w:rsidR="008122D1" w:rsidRDefault="008122D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8122D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</w:t>
      </w:r>
      <w:r w:rsidR="00F72521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Поступление налоговых доходов в разр</w:t>
      </w:r>
      <w:r w:rsidR="00077663"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езе конкретных налогов и сборов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D6C43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Налоговые доходы бюджета городского</w:t>
      </w:r>
      <w:r w:rsidR="00580C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</w:t>
      </w:r>
      <w:r w:rsidR="00D0589B" w:rsidRPr="00425BF2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22</w:t>
      </w:r>
      <w:r w:rsidR="00D0589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исполнены в сумме 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692222</w:t>
      </w:r>
      <w:r w:rsidR="009B1A0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или 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114,6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 к первоначальному плану и </w:t>
      </w:r>
      <w:r w:rsidR="00741DB1" w:rsidRPr="00425BF2">
        <w:rPr>
          <w:rFonts w:ascii="Times New Roman" w:eastAsia="Calibri" w:hAnsi="Times New Roman" w:cs="Calibri"/>
          <w:sz w:val="24"/>
          <w:szCs w:val="24"/>
          <w:lang w:eastAsia="ar-SA"/>
        </w:rPr>
        <w:t>10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3,9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 к </w:t>
      </w:r>
      <w:r w:rsidR="000D6C43">
        <w:rPr>
          <w:rFonts w:ascii="Times New Roman" w:eastAsia="Calibri" w:hAnsi="Times New Roman" w:cs="Calibri"/>
          <w:sz w:val="24"/>
          <w:szCs w:val="24"/>
          <w:lang w:eastAsia="ar-SA"/>
        </w:rPr>
        <w:t>уточненному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плану.  По сравнению с предыдущим годом</w:t>
      </w:r>
      <w:r w:rsidR="00F960E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су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мма налоговых поступлений</w:t>
      </w:r>
      <w:r w:rsidR="00F960E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20</w:t>
      </w:r>
      <w:r w:rsidR="003C04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9F7FE8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</w:t>
      </w:r>
      <w:r w:rsidR="00F960E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9F7FE8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</w:t>
      </w:r>
      <w:r w:rsidR="003C04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велич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r w:rsidR="00966CB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лась на </w:t>
      </w:r>
      <w:r w:rsidR="00BF3B7E">
        <w:rPr>
          <w:rFonts w:ascii="Times New Roman" w:eastAsia="Calibri" w:hAnsi="Times New Roman" w:cs="Calibri"/>
          <w:sz w:val="24"/>
          <w:szCs w:val="24"/>
          <w:lang w:eastAsia="ar-SA"/>
        </w:rPr>
        <w:t>44186,9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и в обще</w:t>
      </w:r>
      <w:r w:rsidR="00BB747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й структуре доходов составила  </w:t>
      </w:r>
      <w:r w:rsidR="005D172D">
        <w:rPr>
          <w:rFonts w:ascii="Times New Roman" w:eastAsia="Calibri" w:hAnsi="Times New Roman" w:cs="Calibri"/>
          <w:sz w:val="24"/>
          <w:szCs w:val="24"/>
          <w:lang w:eastAsia="ar-SA"/>
        </w:rPr>
        <w:t>28,8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 </w:t>
      </w:r>
    </w:p>
    <w:p w:rsidR="000D6C43" w:rsidRDefault="00F72521" w:rsidP="000D6C43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Снижение поступлений по налоговым доходам  наблюдается</w:t>
      </w:r>
      <w:r w:rsidR="000D6C43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3B4010" w:rsidRDefault="000D2496" w:rsidP="000D6C43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9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3F295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по </w:t>
      </w:r>
      <w:r w:rsidR="0023475F" w:rsidRPr="003F295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ЕНВД</w:t>
      </w:r>
      <w:r w:rsidR="009F7FE8" w:rsidRPr="003F29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B4010" w:rsidRPr="003F29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был запланирован </w:t>
      </w:r>
      <w:r w:rsidR="003B4010" w:rsidRPr="003F2952">
        <w:rPr>
          <w:rFonts w:ascii="Times New Roman" w:hAnsi="Times New Roman" w:cs="Times New Roman"/>
          <w:sz w:val="24"/>
          <w:szCs w:val="24"/>
          <w:lang w:eastAsia="ru-RU"/>
        </w:rPr>
        <w:t>с отрицательным знаком  – 650,0 тыс. руб. Фактические зачисления отразились в бюджете также с минусом – 619,3 тыс. руб. (или 95,3% к утвержденным плановым показателям). Согласно данным, полученным от ИФНС, во втором квартале 2022 года было принято решение об уточнении платежей с данного вида налога в зачет УСН, на сумму 1 131,0 тыс. рублей.</w:t>
      </w:r>
    </w:p>
    <w:p w:rsidR="00DF1C35" w:rsidRDefault="00DF1C35" w:rsidP="00D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D081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</w:t>
      </w:r>
      <w:r w:rsidRPr="007D081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D0816">
        <w:rPr>
          <w:rFonts w:ascii="Times New Roman" w:hAnsi="Times New Roman" w:cs="Times New Roman"/>
          <w:sz w:val="24"/>
          <w:szCs w:val="24"/>
          <w:u w:val="single"/>
          <w:lang w:eastAsia="ru-RU"/>
        </w:rPr>
        <w:t>единому</w:t>
      </w:r>
      <w:r w:rsidRPr="00DF1C3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сельскохозяйственному налогу</w:t>
      </w:r>
      <w:r w:rsidR="007D0816" w:rsidRPr="007D081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D081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 отчетном году составило 100,7%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утвержденному плану. Сопоставляя с поступлениями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прошлы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>м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ом (55 164,3 тыс. руб.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>) наблюдается снижение зачислений на 5 809,4 тыс.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1C35">
        <w:rPr>
          <w:rFonts w:ascii="Times New Roman" w:hAnsi="Times New Roman" w:cs="Times New Roman"/>
          <w:sz w:val="24"/>
          <w:szCs w:val="24"/>
          <w:lang w:eastAsia="ru-RU"/>
        </w:rPr>
        <w:t xml:space="preserve"> (что в динамике составляет 89,5%). Налоговая база по рассматриваемому доходному источнику, согласно данным налоговой отчетности, снижается на 17,4%. Основными причинами снижения исполнения являлись: переход некоторых налогоплательщиков на общую систему налогообложения; приобретение основных средств, а также получение убытков.</w:t>
      </w:r>
    </w:p>
    <w:p w:rsidR="00DF1C35" w:rsidRDefault="00DF1C35" w:rsidP="00DF1C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DF1C3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 земельному налогу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 </w:t>
      </w:r>
      <w:r w:rsidR="005F409A">
        <w:rPr>
          <w:rFonts w:ascii="Times New Roman" w:eastAsia="Calibri" w:hAnsi="Times New Roman" w:cs="Times New Roman"/>
          <w:sz w:val="24"/>
          <w:szCs w:val="24"/>
          <w:lang w:eastAsia="ar-SA"/>
        </w:rPr>
        <w:t>сравнении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2021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>одом наблюдается снижение</w:t>
      </w:r>
      <w:r w:rsidR="005F40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поступлений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5F409A">
        <w:rPr>
          <w:rFonts w:ascii="Times New Roman" w:eastAsia="Calibri" w:hAnsi="Times New Roman" w:cs="Times New Roman"/>
          <w:sz w:val="24"/>
          <w:szCs w:val="24"/>
          <w:lang w:eastAsia="ar-SA"/>
        </w:rPr>
        <w:t>8413,8</w:t>
      </w:r>
      <w:r w:rsidRPr="00DF1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13,2 %. Снижение поступлений по земельному налогу произошло за счет сокращения поступлений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5F409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физических лиц и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организаций, так как Комитетом по управлению государственным имуществом Волгоградской области утверждены новые результаты государственной кадастровой оценки различных категорий земель Волгоградской области. </w:t>
      </w:r>
    </w:p>
    <w:p w:rsidR="00DF1C35" w:rsidRPr="003F2952" w:rsidRDefault="00DF1C35" w:rsidP="000D6C43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952" w:rsidRPr="003F2952" w:rsidRDefault="003F2952" w:rsidP="000D6C43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95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3F295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поступлениям от  акцизов 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по подакцизным товарам (дизельное топливо, моторные масла, автомобильный и прямогонный бензин) исполнены в объеме 39 439,3тыс. руб</w:t>
      </w:r>
      <w:r w:rsidR="005F40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, что составило 103,2% утвержденного годового плана (38 207,3 тыс. руб). Относительно поступлений за прошлый 2021 год (42 043,1 тыс. руб</w:t>
      </w:r>
      <w:r w:rsidR="005F40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F40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2952">
        <w:rPr>
          <w:rFonts w:ascii="Times New Roman" w:hAnsi="Times New Roman" w:cs="Times New Roman"/>
          <w:sz w:val="24"/>
          <w:szCs w:val="24"/>
          <w:lang w:eastAsia="ru-RU"/>
        </w:rPr>
        <w:t>заметно снижение зачислений на 2 603,8 тыс. руб.  или 6,2%.</w:t>
      </w:r>
    </w:p>
    <w:p w:rsidR="00F72521" w:rsidRPr="00425BF2" w:rsidRDefault="00F72521" w:rsidP="005E212F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5E21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По остальным налоговым платежам, в</w:t>
      </w:r>
      <w:r w:rsidR="005E21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сравнении с предыдущим годом, </w:t>
      </w:r>
      <w:r w:rsidR="00F960E0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наблюдается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рост поступлений:</w:t>
      </w:r>
    </w:p>
    <w:p w:rsidR="00F72521" w:rsidRPr="00313348" w:rsidRDefault="005A748B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E7E2F" w:rsidRPr="00B152C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 НДФЛ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5E212F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F6423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5E212F">
        <w:rPr>
          <w:rFonts w:ascii="Times New Roman" w:eastAsia="Calibri" w:hAnsi="Times New Roman" w:cs="Times New Roman"/>
          <w:sz w:val="24"/>
          <w:szCs w:val="24"/>
          <w:lang w:eastAsia="ar-SA"/>
        </w:rPr>
        <w:t>548,1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т.е. сумма поступлений увеличилась на </w:t>
      </w:r>
      <w:r w:rsidR="00F6423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13</w:t>
      </w:r>
      <w:r w:rsidR="005E212F">
        <w:rPr>
          <w:rFonts w:ascii="Times New Roman" w:eastAsia="Calibri" w:hAnsi="Times New Roman" w:cs="Times New Roman"/>
          <w:sz w:val="24"/>
          <w:szCs w:val="24"/>
          <w:lang w:eastAsia="ar-SA"/>
        </w:rPr>
        <w:t>,5</w:t>
      </w:r>
      <w:r w:rsidR="00F7252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рост 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обусловлен положительной динамикой собираемости налога с территории</w:t>
      </w:r>
      <w:r w:rsidR="00F72521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72521" w:rsidRPr="00313348" w:rsidRDefault="005A748B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2521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2521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налогу в связи с применением упрощенной системы налогообложения рост на 2508,6 </w:t>
      </w:r>
      <w:r w:rsidR="002D0246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тыс.руб., или на 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33,0%,что связано с увеличением количества налогоплательщиков.</w:t>
      </w:r>
    </w:p>
    <w:p w:rsidR="00F6423D" w:rsidRPr="00313348" w:rsidRDefault="00F6423D" w:rsidP="00F642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-по налогу, взимаемого в связи с применением патентной системой налогообложения и УСН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61060F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5631,6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на 2</w:t>
      </w:r>
      <w:r w:rsidR="0061060F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1060F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%.Повышение произошло в результате отмены ЕНВД и переход плательщиков на патентну</w:t>
      </w:r>
      <w:r w:rsidR="00B152C3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ю систему налогообложения и УСН;</w:t>
      </w:r>
    </w:p>
    <w:p w:rsidR="00B152C3" w:rsidRPr="00313348" w:rsidRDefault="00B152C3" w:rsidP="00B15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33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налогу на имущество физических лиц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в  сравнении с 2021 годом происходит увеличение поступлений на 2 351,6 тыс. руб. или на 27,8%. Сравнивая данные информационного массива заметно увеличение начислений на 65,8% на 3 743,7 тыс. руб.</w:t>
      </w:r>
      <w:r w:rsidR="00313348" w:rsidRPr="003133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3348">
        <w:rPr>
          <w:rFonts w:ascii="Times New Roman" w:hAnsi="Times New Roman" w:cs="Times New Roman"/>
          <w:sz w:val="24"/>
          <w:szCs w:val="24"/>
          <w:lang w:eastAsia="ru-RU"/>
        </w:rPr>
        <w:t>Сумма налога за первые три налоговых периода начала применения порядка определения налоговой базы исходя из кадастровой стоимости объекта налогообложения исчисляется с учетом поэтапного перехода, второй налоговый период рассчитывается с применением коэффициента 0,4 (в 2021 применялся 0,2)</w:t>
      </w:r>
    </w:p>
    <w:p w:rsidR="00465D07" w:rsidRPr="00313348" w:rsidRDefault="0061060F" w:rsidP="00610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465D07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465D07" w:rsidRPr="00313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государственная пошлина</w:t>
      </w:r>
      <w:r w:rsidR="00465D07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B152C3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2790,0</w:t>
      </w:r>
      <w:r w:rsidR="00465D07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</w:t>
      </w:r>
      <w:r w:rsidR="00B152C3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36,6</w:t>
      </w:r>
      <w:r w:rsidR="00465D07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Льготы  по налоговым платежам.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Default="00F72521" w:rsidP="00C5231E">
      <w:pPr>
        <w:pStyle w:val="af1"/>
        <w:ind w:firstLine="142"/>
        <w:rPr>
          <w:rFonts w:ascii="Times New Roman" w:hAnsi="Times New Roman" w:cs="Times New Roman"/>
          <w:sz w:val="24"/>
          <w:szCs w:val="24"/>
        </w:rPr>
      </w:pPr>
      <w:r w:rsidRPr="0075051F">
        <w:rPr>
          <w:rFonts w:ascii="Times New Roman" w:hAnsi="Times New Roman" w:cs="Times New Roman"/>
          <w:sz w:val="24"/>
          <w:szCs w:val="24"/>
          <w:u w:val="single"/>
        </w:rPr>
        <w:t>Льготы по земельному налогу установлены</w:t>
      </w:r>
      <w:r w:rsidRPr="00425BF2">
        <w:rPr>
          <w:rFonts w:ascii="Times New Roman" w:hAnsi="Times New Roman" w:cs="Times New Roman"/>
          <w:sz w:val="24"/>
          <w:szCs w:val="24"/>
        </w:rPr>
        <w:t>:</w:t>
      </w:r>
    </w:p>
    <w:p w:rsidR="00F72521" w:rsidRPr="00425BF2" w:rsidRDefault="003469B5" w:rsidP="00C5231E">
      <w:pPr>
        <w:pStyle w:val="af1"/>
        <w:numPr>
          <w:ilvl w:val="0"/>
          <w:numId w:val="40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529D" w:rsidRPr="00425BF2">
        <w:rPr>
          <w:rFonts w:ascii="Times New Roman" w:hAnsi="Times New Roman" w:cs="Times New Roman"/>
          <w:sz w:val="24"/>
          <w:szCs w:val="24"/>
        </w:rPr>
        <w:t xml:space="preserve"> соответствии с п.1 ст. 395 Налогового Кодекса РФ</w:t>
      </w:r>
      <w:r w:rsidR="00F72521" w:rsidRPr="00425BF2">
        <w:rPr>
          <w:rFonts w:ascii="Times New Roman" w:hAnsi="Times New Roman" w:cs="Times New Roman"/>
          <w:sz w:val="24"/>
          <w:szCs w:val="24"/>
        </w:rPr>
        <w:t>;</w:t>
      </w:r>
    </w:p>
    <w:p w:rsidR="00F72521" w:rsidRDefault="003469B5" w:rsidP="00C5231E">
      <w:pPr>
        <w:pStyle w:val="af1"/>
        <w:numPr>
          <w:ilvl w:val="0"/>
          <w:numId w:val="40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529D" w:rsidRPr="00425BF2">
        <w:rPr>
          <w:rFonts w:ascii="Times New Roman" w:hAnsi="Times New Roman" w:cs="Times New Roman"/>
          <w:sz w:val="24"/>
          <w:szCs w:val="24"/>
        </w:rPr>
        <w:t xml:space="preserve">а основании Решения Михайловской городской Думы </w:t>
      </w:r>
      <w:r w:rsidR="00F72521" w:rsidRPr="00425BF2">
        <w:rPr>
          <w:rFonts w:ascii="Times New Roman" w:hAnsi="Times New Roman" w:cs="Times New Roman"/>
          <w:sz w:val="24"/>
          <w:szCs w:val="24"/>
        </w:rPr>
        <w:t xml:space="preserve">в соответствии со статьей 395 Налогового Кодекса РФ: </w:t>
      </w:r>
    </w:p>
    <w:p w:rsidR="00651001" w:rsidRPr="00425BF2" w:rsidRDefault="00651001" w:rsidP="00C5231E">
      <w:pPr>
        <w:pStyle w:val="af1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12"/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Автономные, бюджетные и казенные учреждения, созданные городским округом город Михайловка для осуществления управленческих, социально-культурных и иных функций некоммерческого характера, деятельность которых финансируется из бюджета городского округа город Михайловка Волгоградской области.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Инвалиды с детства, лица, отнесенные к категории ребенок-инвалид, лица, имеющие на иждивении инвалидов с детства и (или) лиц, отнесенных к категории ребенок-инвалид.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Герои Советского Союза, Герои Российской Федерации, полные кавалеры ордена Славы.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Инвалиды, имеющие I группу инвалидности, а также лица, имеющие II группу инвалидности.</w:t>
      </w:r>
    </w:p>
    <w:p w:rsidR="0075051F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Ветераны и инвалиды Великой Отечественной войны, а также ветераны и инвалиды боевых действий.</w:t>
      </w:r>
    </w:p>
    <w:p w:rsidR="0075051F" w:rsidRPr="000C3B18" w:rsidRDefault="00C5231E" w:rsidP="00C5231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Физические лица, имеющие право на получение социальной поддержки в соответствии с </w:t>
      </w:r>
      <w:hyperlink r:id="rId12" w:history="1">
        <w:r w:rsidR="0075051F" w:rsidRPr="000C3B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3" w:history="1">
        <w:r w:rsidR="0075051F" w:rsidRPr="000C3B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4" w:history="1">
        <w:r w:rsidR="0075051F" w:rsidRPr="000C3B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 января 2002 года N 2-ФЗ "О </w:t>
      </w:r>
      <w:r w:rsidR="0075051F" w:rsidRPr="000C3B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75051F" w:rsidRDefault="00C5231E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5051F" w:rsidRDefault="00C5231E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5051F" w:rsidRDefault="00C5231E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Организации, реализующие инвестиционные проекты на территории городского округа город Михайловка Волгоградской области и заключившие инвестиционные соглашения с Администрацией Волгоградской области, в части земельных участков, используемых в целях осуществления инвестиционной деятельности и в пределах срока окупаемости инвестиционного проекта, но не более трех лет.</w:t>
      </w:r>
    </w:p>
    <w:p w:rsidR="0075051F" w:rsidRDefault="00C5231E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51F">
        <w:rPr>
          <w:rFonts w:ascii="Times New Roman" w:hAnsi="Times New Roman" w:cs="Times New Roman"/>
          <w:sz w:val="24"/>
          <w:szCs w:val="24"/>
        </w:rPr>
        <w:t xml:space="preserve"> Организации-резиденты в отношении земельных участков, используемых для реализации инвестиционных проектов в рамках соглашения об осуществлении деятельности на территории опережающего социально-экономического развития "Михайловка", на срок действия данного соглашения.</w:t>
      </w:r>
    </w:p>
    <w:p w:rsidR="0075051F" w:rsidRDefault="0075051F" w:rsidP="0075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 предоставляются в размере всей подлежащей уплате налогоплательщиком суммы налога в отношении объекта налогообложения.</w:t>
      </w:r>
    </w:p>
    <w:p w:rsidR="0075051F" w:rsidRDefault="0075051F" w:rsidP="00CB2C0E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D5EBF" w:rsidRPr="0075051F" w:rsidRDefault="009D5EBF" w:rsidP="00CB2C0E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</w:t>
      </w:r>
      <w:r w:rsidRPr="0075051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Льготы по налогу на имущество установлены:</w:t>
      </w:r>
    </w:p>
    <w:p w:rsidR="009D5EBF" w:rsidRPr="00425BF2" w:rsidRDefault="009D5EBF" w:rsidP="00CB2C0E">
      <w:pPr>
        <w:numPr>
          <w:ilvl w:val="1"/>
          <w:numId w:val="35"/>
        </w:numPr>
        <w:autoSpaceDE w:val="0"/>
        <w:spacing w:after="0" w:line="100" w:lineRule="atLeast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соответствии со ст. 407 Налогового Кодекса РФ;</w:t>
      </w:r>
    </w:p>
    <w:p w:rsidR="009D5EBF" w:rsidRPr="00425BF2" w:rsidRDefault="009D5EBF" w:rsidP="00CB2C0E">
      <w:pPr>
        <w:numPr>
          <w:ilvl w:val="1"/>
          <w:numId w:val="35"/>
        </w:numPr>
        <w:autoSpaceDE w:val="0"/>
        <w:spacing w:after="0" w:line="100" w:lineRule="atLeast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основании Решения Михайловской городской Думы: </w:t>
      </w:r>
    </w:p>
    <w:p w:rsidR="00C5231E" w:rsidRDefault="00A94E07" w:rsidP="00C5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"/>
      <w:bookmarkEnd w:id="0"/>
      <w:r w:rsidRPr="00425BF2">
        <w:rPr>
          <w:rFonts w:ascii="Times New Roman" w:hAnsi="Times New Roman" w:cs="Times New Roman"/>
          <w:sz w:val="24"/>
          <w:szCs w:val="24"/>
        </w:rPr>
        <w:t>- с</w:t>
      </w:r>
      <w:r w:rsidR="00C63D7B" w:rsidRPr="00425BF2">
        <w:rPr>
          <w:rFonts w:ascii="Times New Roman" w:hAnsi="Times New Roman" w:cs="Times New Roman"/>
          <w:sz w:val="24"/>
          <w:szCs w:val="24"/>
        </w:rPr>
        <w:t>овместно проживающим родителям и детям многодетных семей, за исключением детей, находящихся на пол</w:t>
      </w:r>
      <w:r w:rsidRPr="00425BF2">
        <w:rPr>
          <w:rFonts w:ascii="Times New Roman" w:hAnsi="Times New Roman" w:cs="Times New Roman"/>
          <w:sz w:val="24"/>
          <w:szCs w:val="24"/>
        </w:rPr>
        <w:t>ном государственном обеспечен</w:t>
      </w:r>
      <w:bookmarkStart w:id="4" w:name="sub_42"/>
      <w:bookmarkEnd w:id="3"/>
    </w:p>
    <w:p w:rsidR="00C63D7B" w:rsidRPr="00C5231E" w:rsidRDefault="00A94E07" w:rsidP="00C5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Arial" w:hAnsi="Arial" w:cs="Arial"/>
          <w:sz w:val="24"/>
          <w:szCs w:val="24"/>
        </w:rPr>
        <w:t xml:space="preserve">- </w:t>
      </w:r>
      <w:r w:rsidRPr="00425BF2">
        <w:rPr>
          <w:rFonts w:ascii="Times New Roman" w:hAnsi="Times New Roman" w:cs="Times New Roman"/>
          <w:sz w:val="24"/>
          <w:szCs w:val="24"/>
        </w:rPr>
        <w:t>с</w:t>
      </w:r>
      <w:r w:rsidR="00C63D7B" w:rsidRPr="00425BF2">
        <w:rPr>
          <w:rFonts w:ascii="Times New Roman" w:hAnsi="Times New Roman" w:cs="Times New Roman"/>
          <w:sz w:val="24"/>
          <w:szCs w:val="24"/>
        </w:rPr>
        <w:t>обственникам, имеющим на иждивении детей-инвалидов, за исключением детей, находящихся на полном государственном обеспечении</w:t>
      </w:r>
      <w:r w:rsidR="00C63D7B" w:rsidRPr="00425BF2">
        <w:rPr>
          <w:rFonts w:ascii="Arial" w:hAnsi="Arial" w:cs="Arial"/>
          <w:sz w:val="24"/>
          <w:szCs w:val="24"/>
        </w:rPr>
        <w:t>.</w:t>
      </w:r>
    </w:p>
    <w:p w:rsidR="007E512B" w:rsidRDefault="00A57245" w:rsidP="00DB3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7245">
        <w:rPr>
          <w:rFonts w:ascii="Times New Roman" w:hAnsi="Times New Roman" w:cs="Times New Roman"/>
          <w:sz w:val="24"/>
          <w:szCs w:val="24"/>
        </w:rPr>
        <w:t>умма выпадающих доходов от предоставления налоговых льгот контрольно-</w:t>
      </w:r>
      <w:r w:rsidRPr="00FB2120">
        <w:rPr>
          <w:rFonts w:ascii="Times New Roman" w:hAnsi="Times New Roman" w:cs="Times New Roman"/>
          <w:sz w:val="24"/>
          <w:szCs w:val="24"/>
        </w:rPr>
        <w:t>счетной комиссии не представлена</w:t>
      </w:r>
      <w:r w:rsidR="001D16BD" w:rsidRPr="00FB2120">
        <w:rPr>
          <w:rFonts w:ascii="Times New Roman" w:hAnsi="Times New Roman" w:cs="Times New Roman"/>
          <w:sz w:val="24"/>
          <w:szCs w:val="24"/>
        </w:rPr>
        <w:t>, в связи с тем, что</w:t>
      </w:r>
      <w:r w:rsidR="00C5231E" w:rsidRPr="00FB2120">
        <w:rPr>
          <w:rFonts w:ascii="Times New Roman" w:hAnsi="Times New Roman" w:cs="Times New Roman"/>
          <w:sz w:val="24"/>
          <w:szCs w:val="24"/>
        </w:rPr>
        <w:t xml:space="preserve"> </w:t>
      </w:r>
      <w:r w:rsidR="001D16BD" w:rsidRPr="00FB2120">
        <w:rPr>
          <w:rFonts w:ascii="Times New Roman" w:hAnsi="Times New Roman" w:cs="Times New Roman"/>
          <w:sz w:val="24"/>
          <w:szCs w:val="24"/>
        </w:rPr>
        <w:t>в</w:t>
      </w:r>
      <w:r w:rsidRPr="00FB2120">
        <w:rPr>
          <w:rFonts w:ascii="Times New Roman" w:hAnsi="Times New Roman" w:cs="Times New Roman"/>
          <w:sz w:val="24"/>
          <w:szCs w:val="24"/>
        </w:rPr>
        <w:t xml:space="preserve"> соответствии с п</w:t>
      </w:r>
      <w:r w:rsidR="00C5231E" w:rsidRPr="00FB2120">
        <w:rPr>
          <w:rFonts w:ascii="Times New Roman" w:hAnsi="Times New Roman" w:cs="Times New Roman"/>
          <w:sz w:val="24"/>
          <w:szCs w:val="24"/>
        </w:rPr>
        <w:t>.</w:t>
      </w:r>
      <w:r w:rsidRPr="00FB2120">
        <w:rPr>
          <w:rFonts w:ascii="Times New Roman" w:hAnsi="Times New Roman" w:cs="Times New Roman"/>
          <w:sz w:val="24"/>
          <w:szCs w:val="24"/>
        </w:rPr>
        <w:t>п. б, п. 1</w:t>
      </w:r>
      <w:r w:rsidR="00C5231E" w:rsidRPr="00FB2120">
        <w:rPr>
          <w:rFonts w:ascii="Times New Roman" w:hAnsi="Times New Roman" w:cs="Times New Roman"/>
          <w:sz w:val="24"/>
          <w:szCs w:val="24"/>
        </w:rPr>
        <w:t xml:space="preserve"> </w:t>
      </w:r>
      <w:r w:rsidRPr="00FB2120">
        <w:rPr>
          <w:rFonts w:ascii="Times New Roman" w:hAnsi="Times New Roman" w:cs="Times New Roman"/>
          <w:sz w:val="24"/>
          <w:szCs w:val="24"/>
        </w:rPr>
        <w:t>Приказа Минфина РФ и Федеральной налоговой службы от 30 июня 2008 г. N 65н/ММ-3-1/295@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</w:t>
      </w:r>
      <w:r w:rsidR="00C5231E" w:rsidRPr="00FB2120">
        <w:rPr>
          <w:rFonts w:ascii="Times New Roman" w:hAnsi="Times New Roman" w:cs="Times New Roman"/>
          <w:sz w:val="24"/>
          <w:szCs w:val="24"/>
        </w:rPr>
        <w:t xml:space="preserve"> </w:t>
      </w:r>
      <w:r w:rsidRPr="00FB2120">
        <w:rPr>
          <w:rFonts w:ascii="Times New Roman" w:hAnsi="Times New Roman" w:cs="Times New Roman"/>
          <w:sz w:val="24"/>
          <w:szCs w:val="24"/>
        </w:rPr>
        <w:t>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</w:t>
      </w:r>
      <w:r w:rsidR="00DB3CFD" w:rsidRPr="00FB2120">
        <w:rPr>
          <w:rFonts w:ascii="Times New Roman" w:hAnsi="Times New Roman" w:cs="Times New Roman"/>
          <w:sz w:val="24"/>
          <w:szCs w:val="24"/>
        </w:rPr>
        <w:t xml:space="preserve">, </w:t>
      </w:r>
      <w:r w:rsidRPr="00FB2120">
        <w:rPr>
          <w:rFonts w:ascii="Times New Roman" w:hAnsi="Times New Roman" w:cs="Times New Roman"/>
          <w:sz w:val="24"/>
          <w:szCs w:val="24"/>
        </w:rPr>
        <w:t>представление сведений</w:t>
      </w:r>
      <w:r w:rsidR="00C5231E" w:rsidRPr="00FB2120">
        <w:rPr>
          <w:rFonts w:ascii="Times New Roman" w:hAnsi="Times New Roman" w:cs="Times New Roman"/>
          <w:sz w:val="24"/>
          <w:szCs w:val="24"/>
        </w:rPr>
        <w:t xml:space="preserve"> </w:t>
      </w:r>
      <w:r w:rsidR="00B3291A" w:rsidRPr="00FB2120">
        <w:rPr>
          <w:rFonts w:ascii="Times New Roman" w:hAnsi="Times New Roman" w:cs="Times New Roman"/>
          <w:sz w:val="24"/>
          <w:szCs w:val="24"/>
        </w:rPr>
        <w:t xml:space="preserve">осуществляется территориальными органами ФНС России в финансовые органы субъектов Российской Федерации и в финансовые органы местных администраций </w:t>
      </w:r>
      <w:r w:rsidR="00B3291A" w:rsidRPr="00FB2120">
        <w:rPr>
          <w:rFonts w:ascii="Times New Roman" w:hAnsi="Times New Roman" w:cs="Times New Roman"/>
          <w:sz w:val="24"/>
          <w:szCs w:val="24"/>
          <w:u w:val="single"/>
        </w:rPr>
        <w:t>в срок не позднее первого августа года, следующего за отчетным</w:t>
      </w:r>
      <w:r w:rsidR="00B3291A" w:rsidRPr="00FB2120">
        <w:rPr>
          <w:rFonts w:ascii="Times New Roman" w:hAnsi="Times New Roman" w:cs="Times New Roman"/>
          <w:sz w:val="24"/>
          <w:szCs w:val="24"/>
        </w:rPr>
        <w:t>.</w:t>
      </w:r>
      <w:r w:rsidR="00B3291A" w:rsidRPr="00B3291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CD3134" w:rsidRDefault="00CD3134" w:rsidP="00B3291A">
      <w:pPr>
        <w:tabs>
          <w:tab w:val="left" w:pos="1005"/>
          <w:tab w:val="left" w:pos="6465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F72521" w:rsidP="00C5231E">
      <w:pPr>
        <w:tabs>
          <w:tab w:val="left" w:pos="1005"/>
          <w:tab w:val="left" w:pos="6465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Меры принудительного взыскания задолженности и состояние задолженности по налоговым платежам.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В администрации городского округа город Михайловка продолжается работа межведомственной комиссии по мобилизации доходов в консолидированный бюджет Волгоградской области и бюджет городского округа, а также вопросам неформальной занятости. В работе комиссии принимают участие работники  налоговой службы, службы судебных приставов, начальники от</w:t>
      </w:r>
      <w:r w:rsidR="00E3347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делов</w:t>
      </w:r>
      <w:r w:rsidR="00B1783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администрации, руководитель</w:t>
      </w:r>
      <w:r w:rsidR="00F279D4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центра занятости населения,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представители внебюджетных государственных фондов</w:t>
      </w:r>
      <w:r w:rsidR="001373A3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A8660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373A3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к</w:t>
      </w:r>
      <w:r w:rsidR="00F279D4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онтролирующие органы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Задачами комиссии являются обеспечение взаимодействия территориальных подразделений федеральных органов исполнительной власти, исполнительных органов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местного самоуправления при осуществлении ими своих полномочий по формированию и увеличению налоговых и неналоговых доходов, организация работы по обеспечению выполнения требований трудового законодательства в части своевременности и полноты выплаты заработной платы. Кроме того, на заседаниях комиссии рассматриваются вопросы соблюдения работодателями оплаты труда не ниже установленного регионального минимума и снижения неформальной занятости населения.</w:t>
      </w:r>
    </w:p>
    <w:p w:rsidR="00ED58A6" w:rsidRDefault="00F72521" w:rsidP="00ED58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2</w:t>
      </w:r>
      <w:r w:rsidR="00B1783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="00E33DE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A86601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B1783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</w:t>
      </w:r>
      <w:r w:rsidR="00E33DE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рамках работы межведомственной комиссии были рассмотрены вопросы погашения задолженности по налогам </w:t>
      </w:r>
      <w:r w:rsidR="00C5231E">
        <w:rPr>
          <w:rFonts w:ascii="Times New Roman" w:eastAsia="Calibri" w:hAnsi="Times New Roman" w:cs="Calibri"/>
          <w:sz w:val="24"/>
          <w:szCs w:val="24"/>
          <w:lang w:eastAsia="ar-SA"/>
        </w:rPr>
        <w:t>и сборам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бюджет</w:t>
      </w:r>
      <w:r w:rsidR="00C5231E">
        <w:rPr>
          <w:rFonts w:ascii="Times New Roman" w:eastAsia="Calibri" w:hAnsi="Times New Roman" w:cs="Calibri"/>
          <w:sz w:val="24"/>
          <w:szCs w:val="24"/>
          <w:lang w:eastAsia="ar-SA"/>
        </w:rPr>
        <w:t>ы всех уровней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 снижения неформальной занятости населения и соблюдения работодателями установленного регионального минимума уровня оплаты труда наемным работникам</w:t>
      </w:r>
      <w:r w:rsidR="00C523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поступления НДФЛ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870EF7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</w:t>
      </w:r>
      <w:r w:rsidR="00C523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отчетном периоде проведено</w:t>
      </w:r>
      <w:r w:rsidR="00C523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7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="00E33DE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заседаний</w:t>
      </w:r>
      <w:r w:rsidR="00CB019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комиссии, в том числе по задолженности по нало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гам и сборам </w:t>
      </w:r>
      <w:r w:rsidR="00C523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бюджеты всех уровней</w:t>
      </w:r>
      <w:r w:rsidR="00ED58A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ED58A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ED58A6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="00CB019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заседаний, по сн</w:t>
      </w:r>
      <w:r w:rsidR="00C01307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ижению неформальной занятости -24</w:t>
      </w:r>
      <w:r w:rsidR="00E61BA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по оплате труда -24, по вопросам сотрудничества хозяйствующих субъектов с органами центра занятости населения </w:t>
      </w:r>
      <w:r w:rsidR="00ED58A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– </w:t>
      </w:r>
      <w:r w:rsidR="00E61BA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="00ED58A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</w:p>
    <w:p w:rsidR="00ED58A6" w:rsidRPr="00ED58A6" w:rsidRDefault="00ED58A6" w:rsidP="00ED58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5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Приглашено 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D5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350 хозяйствующих субъектов и физических лиц по вопросам повесток заседаний, в том числе 738</w:t>
      </w:r>
      <w:r w:rsidRPr="00ED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работодателей по вопросам соблюдения регионального минимума по заработной плате и поступления НДФЛ</w:t>
      </w:r>
      <w:r w:rsidRPr="00ED58A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D5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результате работы комиссии 255 работодателей повысили заработную плату 1 745 наемным работникам. </w:t>
      </w:r>
    </w:p>
    <w:p w:rsidR="00ED58A6" w:rsidRPr="00ED58A6" w:rsidRDefault="00ED58A6" w:rsidP="00ED58A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ED5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итогам работы комиссии за 2022 год дополнительно во все уровни бюджета поступило 32 493 тыс. руб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D5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том числе за счет погашения задолженности по платежам – 32 260 тыс. руб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D5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 счет увеличения налоговой базы – 233,0 тыс. руб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.(на 15,8 % ниже по отношению к предыдущему году)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Поступление неналоговых доходов.</w:t>
      </w:r>
    </w:p>
    <w:p w:rsidR="005C58F8" w:rsidRPr="00425BF2" w:rsidRDefault="005C58F8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7311CD" w:rsidRDefault="003D3E96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Неналоговые доходы в 20</w:t>
      </w:r>
      <w:r w:rsidR="00AD7B22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исполнены </w:t>
      </w:r>
      <w:r w:rsidR="0013636B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%  от</w:t>
      </w:r>
      <w:r w:rsidR="00EF0024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уточненного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E80B53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лана и поступили в объеме 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145883,3</w:t>
      </w:r>
      <w:r w:rsidR="00AD7B22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что составляет  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%  суммы доходов городс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кого округа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. По сравнению с 202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годом, в 20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поступления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меньшили</w:t>
      </w:r>
      <w:r w:rsidR="00F373FF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сь</w:t>
      </w:r>
      <w:r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4531,9 </w:t>
      </w:r>
      <w:r w:rsidR="006B6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руб., или на </w:t>
      </w:r>
      <w:r w:rsidR="007311CD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3,0</w:t>
      </w:r>
      <w:r w:rsidR="00F72521" w:rsidRPr="007311CD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DF3DCA" w:rsidRDefault="00DF3DCA" w:rsidP="00D527CA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7CA" w:rsidRDefault="00D527CA" w:rsidP="00D527CA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На диаграмме приведена информация о структуре неналоговых доходов городского округа в 202</w:t>
      </w:r>
      <w:r w:rsidR="003820E9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DF3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</w:t>
      </w:r>
      <w:r w:rsidR="00DF3DCA" w:rsidRPr="00DF3DCA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DF3DCA" w:rsidRPr="00DF3DCA" w:rsidRDefault="00DF3DCA" w:rsidP="00D527CA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доходы, </w:t>
      </w:r>
      <w:r w:rsidR="007B7703">
        <w:rPr>
          <w:rFonts w:ascii="Times New Roman" w:eastAsia="Calibri" w:hAnsi="Times New Roman" w:cs="Calibri"/>
          <w:sz w:val="24"/>
          <w:szCs w:val="24"/>
          <w:lang w:eastAsia="ar-SA"/>
        </w:rPr>
        <w:t>от сдачи в аренду имущества и прочие поступления от использования имущества</w:t>
      </w:r>
      <w:r w:rsidR="005D43D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3203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7B7703">
        <w:rPr>
          <w:rFonts w:ascii="Times New Roman" w:eastAsia="Calibri" w:hAnsi="Times New Roman" w:cs="Calibri"/>
          <w:sz w:val="24"/>
          <w:szCs w:val="24"/>
          <w:lang w:eastAsia="ar-SA"/>
        </w:rPr>
        <w:t>18,2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  <w:t>доходы от продажи материальных и нематериальных активо</w:t>
      </w:r>
      <w:r w:rsidR="0013203F">
        <w:rPr>
          <w:rFonts w:ascii="Times New Roman" w:eastAsia="Calibri" w:hAnsi="Times New Roman" w:cs="Calibri"/>
          <w:sz w:val="24"/>
          <w:szCs w:val="24"/>
          <w:lang w:eastAsia="ar-SA"/>
        </w:rPr>
        <w:t>в  5,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4 %;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  <w:t>доходы от оказания платных услуг и ко</w:t>
      </w:r>
      <w:r w:rsidR="0013203F">
        <w:rPr>
          <w:rFonts w:ascii="Times New Roman" w:eastAsia="Calibri" w:hAnsi="Times New Roman" w:cs="Calibri"/>
          <w:sz w:val="24"/>
          <w:szCs w:val="24"/>
          <w:lang w:eastAsia="ar-SA"/>
        </w:rPr>
        <w:t>мпенсации затрат государства  5,4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DF3DCA">
        <w:rPr>
          <w:rFonts w:ascii="Times New Roman" w:eastAsia="Calibri" w:hAnsi="Times New Roman" w:cs="Calibri"/>
          <w:sz w:val="24"/>
          <w:szCs w:val="24"/>
          <w:lang w:eastAsia="ar-SA"/>
        </w:rPr>
        <w:tab/>
        <w:t>штрафы, санкции   7,</w:t>
      </w:r>
      <w:r w:rsidR="005D43D2">
        <w:rPr>
          <w:rFonts w:ascii="Times New Roman" w:eastAsia="Calibri" w:hAnsi="Times New Roman" w:cs="Calibri"/>
          <w:sz w:val="24"/>
          <w:szCs w:val="24"/>
          <w:lang w:eastAsia="ar-SA"/>
        </w:rPr>
        <w:t>76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платежи при пользовании природными ресурсами   </w:t>
      </w:r>
      <w:r w:rsidR="0013203F">
        <w:rPr>
          <w:rFonts w:ascii="Times New Roman" w:eastAsia="Calibri" w:hAnsi="Times New Roman" w:cs="Calibri"/>
          <w:sz w:val="24"/>
          <w:szCs w:val="24"/>
          <w:lang w:eastAsia="ar-SA"/>
        </w:rPr>
        <w:t>1,6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C3622F" w:rsidRPr="00D527CA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перечисление части прибыли муниципальных унитарных предприятий   </w:t>
      </w:r>
      <w:r w:rsidR="003820E9">
        <w:rPr>
          <w:rFonts w:ascii="Times New Roman" w:eastAsia="Calibri" w:hAnsi="Times New Roman" w:cs="Calibri"/>
          <w:sz w:val="24"/>
          <w:szCs w:val="24"/>
          <w:lang w:eastAsia="ar-SA"/>
        </w:rPr>
        <w:t>0,9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C3622F" w:rsidRDefault="00C3622F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B7703">
        <w:rPr>
          <w:rFonts w:ascii="Times New Roman" w:eastAsia="Calibri" w:hAnsi="Times New Roman" w:cs="Calibri"/>
          <w:sz w:val="24"/>
          <w:szCs w:val="24"/>
          <w:lang w:eastAsia="ar-SA"/>
        </w:rPr>
        <w:t>арендная плата за земельные участки, расположенные на территории городского округа 60,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%;</w:t>
      </w:r>
    </w:p>
    <w:p w:rsidR="005D43D2" w:rsidRPr="00D527CA" w:rsidRDefault="005D43D2" w:rsidP="00C3622F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 прочие неналоговые поступления 0,04%</w:t>
      </w:r>
    </w:p>
    <w:p w:rsidR="00325444" w:rsidRPr="00425BF2" w:rsidRDefault="00C3622F" w:rsidP="00F72521">
      <w:pPr>
        <w:autoSpaceDE w:val="0"/>
        <w:spacing w:after="0" w:line="100" w:lineRule="atLeast"/>
        <w:ind w:left="360"/>
        <w:jc w:val="both"/>
        <w:rPr>
          <w:noProof/>
          <w:lang w:eastAsia="ru-RU"/>
        </w:rPr>
      </w:pP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Анализ структуры неналоговых доходов показал, что  значительного изменения удельного веса доходов, в 202</w:t>
      </w:r>
      <w:r w:rsidR="0013203F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году, относительно предыдущего года не произошло. Доля доходов, получаемых в виде арендной или иной платы за передачу имущества уменьшилась с 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65,5% 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до 6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>0,7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%, но осталась наиболее существенной, доля прочих доходов от использования имущества увеличилась с 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>8,6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 до 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>,2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%,  Увеличилась доля штрафов  - с 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>6,5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до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7,</w:t>
      </w:r>
      <w:r w:rsidR="005D43D2">
        <w:rPr>
          <w:rFonts w:ascii="Times New Roman" w:eastAsia="Calibri" w:hAnsi="Times New Roman" w:cs="Calibri"/>
          <w:sz w:val="24"/>
          <w:szCs w:val="24"/>
          <w:lang w:eastAsia="ar-SA"/>
        </w:rPr>
        <w:t>76</w:t>
      </w:r>
      <w:r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%., 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>платежей</w:t>
      </w:r>
      <w:r w:rsidR="00B83209" w:rsidRPr="00D527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при пользовании природными ресурсами</w:t>
      </w:r>
      <w:r w:rsidR="00B8320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 0,7% </w:t>
      </w:r>
      <w:r w:rsidR="00B83209" w:rsidRPr="00221333">
        <w:rPr>
          <w:rFonts w:ascii="Times New Roman" w:eastAsia="Calibri" w:hAnsi="Times New Roman" w:cs="Calibri"/>
          <w:sz w:val="24"/>
          <w:szCs w:val="24"/>
          <w:lang w:eastAsia="ar-SA"/>
        </w:rPr>
        <w:t>до 1,6%. Уменьшилась</w:t>
      </w:r>
      <w:r w:rsidR="000D1988"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доля</w:t>
      </w:r>
      <w:r w:rsidR="00B83209"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доходов от оказания платных услуг с </w:t>
      </w:r>
      <w:r w:rsidR="000D1988" w:rsidRPr="00221333">
        <w:rPr>
          <w:rFonts w:ascii="Times New Roman" w:eastAsia="Calibri" w:hAnsi="Times New Roman" w:cs="Calibri"/>
          <w:sz w:val="24"/>
          <w:szCs w:val="24"/>
          <w:lang w:eastAsia="ar-SA"/>
        </w:rPr>
        <w:t>6,1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до </w:t>
      </w:r>
      <w:r w:rsidR="000D1988" w:rsidRPr="00221333">
        <w:rPr>
          <w:rFonts w:ascii="Times New Roman" w:eastAsia="Calibri" w:hAnsi="Times New Roman" w:cs="Calibri"/>
          <w:sz w:val="24"/>
          <w:szCs w:val="24"/>
          <w:lang w:eastAsia="ar-SA"/>
        </w:rPr>
        <w:t>5,4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%, от продажи материальных и нематериальных активов с </w:t>
      </w:r>
      <w:r w:rsidR="000D1988" w:rsidRPr="00221333">
        <w:rPr>
          <w:rFonts w:ascii="Times New Roman" w:eastAsia="Calibri" w:hAnsi="Times New Roman" w:cs="Calibri"/>
          <w:sz w:val="24"/>
          <w:szCs w:val="24"/>
          <w:lang w:eastAsia="ar-SA"/>
        </w:rPr>
        <w:t>11,4% до 5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>,4%.  В абсолютном</w:t>
      </w:r>
      <w:r w:rsidR="000D1988"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значении поступления уменьшились по следующим неналоговым доходам: по 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доходам, </w:t>
      </w:r>
      <w:r w:rsidR="00221333" w:rsidRPr="00221333">
        <w:rPr>
          <w:rFonts w:ascii="Times New Roman" w:eastAsia="Calibri" w:hAnsi="Times New Roman" w:cs="Calibri"/>
          <w:sz w:val="24"/>
          <w:szCs w:val="24"/>
          <w:lang w:eastAsia="ar-SA"/>
        </w:rPr>
        <w:t>от перечисления части прибыли МУП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</w:t>
      </w:r>
      <w:r w:rsidR="00221333" w:rsidRPr="00221333">
        <w:rPr>
          <w:rFonts w:ascii="Times New Roman" w:eastAsia="Calibri" w:hAnsi="Times New Roman" w:cs="Calibri"/>
          <w:sz w:val="24"/>
          <w:szCs w:val="24"/>
          <w:lang w:eastAsia="ar-SA"/>
        </w:rPr>
        <w:t>221,8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по прочим неналоговым доходам на </w:t>
      </w:r>
      <w:r w:rsidR="00221333" w:rsidRPr="00221333">
        <w:rPr>
          <w:rFonts w:ascii="Times New Roman" w:eastAsia="Calibri" w:hAnsi="Times New Roman" w:cs="Calibri"/>
          <w:sz w:val="24"/>
          <w:szCs w:val="24"/>
          <w:lang w:eastAsia="ar-SA"/>
        </w:rPr>
        <w:t>80,9</w:t>
      </w:r>
      <w:r w:rsidRPr="0022133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13203F" w:rsidRPr="00221333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325444" w:rsidRDefault="00325444" w:rsidP="00F72521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5505450" cy="5419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27CA" w:rsidRDefault="00D527CA" w:rsidP="00DF3DCA">
      <w:pPr>
        <w:pBdr>
          <w:bottom w:val="single" w:sz="4" w:space="1" w:color="auto"/>
        </w:pBd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7CA" w:rsidRPr="00D527CA" w:rsidRDefault="00D527CA" w:rsidP="00D527CA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50D5" w:rsidRPr="00667E9A" w:rsidRDefault="00F72521" w:rsidP="00EA1C12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сост</w:t>
      </w:r>
      <w:r w:rsidR="005D2F6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авляют </w:t>
      </w:r>
      <w:r w:rsidR="00980FE8">
        <w:rPr>
          <w:rFonts w:ascii="Times New Roman" w:eastAsia="Calibri" w:hAnsi="Times New Roman" w:cs="Calibri"/>
          <w:sz w:val="24"/>
          <w:szCs w:val="24"/>
          <w:lang w:eastAsia="ar-SA"/>
        </w:rPr>
        <w:t>116391,9</w:t>
      </w:r>
      <w:r w:rsidR="00E1657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или </w:t>
      </w:r>
      <w:r w:rsidR="00980FE8">
        <w:rPr>
          <w:rFonts w:ascii="Times New Roman" w:eastAsia="Calibri" w:hAnsi="Times New Roman" w:cs="Calibri"/>
          <w:sz w:val="24"/>
          <w:szCs w:val="24"/>
          <w:lang w:eastAsia="ar-SA"/>
        </w:rPr>
        <w:t>79,8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в общей сумме неналоговых  платежей.  Бюдж</w:t>
      </w:r>
      <w:r w:rsidR="00E1657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етные назначения исполнены на </w:t>
      </w:r>
      <w:r w:rsidR="00575AAB" w:rsidRPr="00425BF2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980FE8">
        <w:rPr>
          <w:rFonts w:ascii="Times New Roman" w:eastAsia="Calibri" w:hAnsi="Times New Roman" w:cs="Calibri"/>
          <w:sz w:val="24"/>
          <w:szCs w:val="24"/>
          <w:lang w:eastAsia="ar-SA"/>
        </w:rPr>
        <w:t>10,7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к ут</w:t>
      </w:r>
      <w:r w:rsidR="00C04FD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вержденному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плану. </w:t>
      </w:r>
      <w:r w:rsidR="00E62284">
        <w:rPr>
          <w:rFonts w:ascii="Times New Roman" w:eastAsia="Calibri" w:hAnsi="Times New Roman" w:cs="Calibri"/>
          <w:sz w:val="24"/>
          <w:szCs w:val="24"/>
          <w:lang w:eastAsia="ar-SA"/>
        </w:rPr>
        <w:t>Хотя к</w:t>
      </w:r>
      <w:r w:rsidR="00575AA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уровню 202</w:t>
      </w:r>
      <w:r w:rsidR="00980FE8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поступления у</w:t>
      </w:r>
      <w:r w:rsidR="00E62284">
        <w:rPr>
          <w:rFonts w:ascii="Times New Roman" w:eastAsia="Calibri" w:hAnsi="Times New Roman" w:cs="Calibri"/>
          <w:sz w:val="24"/>
          <w:szCs w:val="24"/>
          <w:lang w:eastAsia="ar-SA"/>
        </w:rPr>
        <w:t>меньши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лись на </w:t>
      </w:r>
      <w:r w:rsidR="00E62284" w:rsidRPr="00E62284">
        <w:rPr>
          <w:rFonts w:ascii="Times New Roman" w:eastAsia="Calibri" w:hAnsi="Times New Roman" w:cs="Calibri"/>
          <w:sz w:val="24"/>
          <w:szCs w:val="24"/>
          <w:lang w:eastAsia="ar-SA"/>
        </w:rPr>
        <w:t>358,5</w:t>
      </w:r>
      <w:r w:rsidR="0027601D" w:rsidRPr="00E6228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или на </w:t>
      </w:r>
      <w:r w:rsidR="00E62284" w:rsidRPr="00E62284">
        <w:rPr>
          <w:rFonts w:ascii="Times New Roman" w:eastAsia="Calibri" w:hAnsi="Times New Roman" w:cs="Calibri"/>
          <w:sz w:val="24"/>
          <w:szCs w:val="24"/>
          <w:lang w:eastAsia="ar-SA"/>
        </w:rPr>
        <w:t>0,</w:t>
      </w:r>
      <w:r w:rsidR="00D124DA" w:rsidRPr="00E62284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Pr="00E6228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.</w:t>
      </w:r>
      <w:r w:rsidR="00E6228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При этом </w:t>
      </w:r>
      <w:r w:rsidR="002804A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рост </w:t>
      </w:r>
      <w:r w:rsidR="00746E64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прочих </w:t>
      </w:r>
      <w:r w:rsidR="00884136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поступлений </w:t>
      </w:r>
      <w:r w:rsidR="00EF7A3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 использования имущества и прав находящихся в государственной и муниципальной собственности </w:t>
      </w:r>
      <w:r w:rsidR="006310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EF7A3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за исключением имущества бюджетных, автономных, ГУП и МУП</w:t>
      </w:r>
      <w:r w:rsidR="006310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</w:t>
      </w:r>
      <w:r w:rsidR="00E6228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составил </w:t>
      </w:r>
      <w:r w:rsidR="00631075" w:rsidRPr="00667E9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</w:t>
      </w:r>
      <w:r w:rsidR="00FB2120" w:rsidRPr="00667E9A">
        <w:rPr>
          <w:rFonts w:ascii="Times New Roman" w:eastAsia="Calibri" w:hAnsi="Times New Roman" w:cs="Calibri"/>
          <w:sz w:val="24"/>
          <w:szCs w:val="24"/>
          <w:lang w:eastAsia="ar-SA"/>
        </w:rPr>
        <w:t>3929,9</w:t>
      </w:r>
      <w:r w:rsidR="00631075" w:rsidRPr="00667E9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="00746E64" w:rsidRPr="00667E9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или </w:t>
      </w:r>
      <w:r w:rsidR="00FB2120" w:rsidRPr="00667E9A">
        <w:rPr>
          <w:rFonts w:ascii="Times New Roman" w:eastAsia="Calibri" w:hAnsi="Times New Roman" w:cs="Calibri"/>
          <w:sz w:val="24"/>
          <w:szCs w:val="24"/>
          <w:lang w:eastAsia="ar-SA"/>
        </w:rPr>
        <w:t>на 30,4</w:t>
      </w:r>
      <w:r w:rsidR="00746E64" w:rsidRPr="00667E9A">
        <w:rPr>
          <w:rFonts w:ascii="Times New Roman" w:eastAsia="Calibri" w:hAnsi="Times New Roman" w:cs="Calibri"/>
          <w:sz w:val="24"/>
          <w:szCs w:val="24"/>
          <w:lang w:eastAsia="ar-SA"/>
        </w:rPr>
        <w:t>%</w:t>
      </w:r>
      <w:r w:rsidR="00746E64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 </w:t>
      </w:r>
      <w:r w:rsidR="00746E64" w:rsidRPr="00667E9A">
        <w:rPr>
          <w:rFonts w:ascii="Times New Roman" w:eastAsia="Calibri" w:hAnsi="Times New Roman" w:cs="Times New Roman"/>
          <w:sz w:val="24"/>
          <w:szCs w:val="24"/>
          <w:lang w:eastAsia="ar-SA"/>
        </w:rPr>
        <w:t>уровню 202</w:t>
      </w:r>
      <w:r w:rsidR="00FB2120" w:rsidRPr="00667E9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46E64" w:rsidRPr="00667E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года.</w:t>
      </w:r>
      <w:r w:rsidR="000D1988" w:rsidRPr="00667E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46E64" w:rsidRPr="00667E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Рост поступлений </w:t>
      </w:r>
      <w:r w:rsidR="00667E9A" w:rsidRPr="00667E9A">
        <w:rPr>
          <w:rFonts w:ascii="Times New Roman" w:hAnsi="Times New Roman" w:cs="Times New Roman"/>
          <w:sz w:val="24"/>
          <w:szCs w:val="24"/>
        </w:rPr>
        <w:t>объясняется взысканием задолженности в рамках проведения претензионно – исковой работы, а также увеличением количества договоров (в результате заключения новых).</w:t>
      </w:r>
    </w:p>
    <w:p w:rsidR="00200373" w:rsidRPr="00130B76" w:rsidRDefault="00C56914" w:rsidP="002003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BF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Доходы от использования имущества, находящегося в государственной и муниципальной собственности </w:t>
      </w:r>
      <w:r w:rsidR="00200373" w:rsidRPr="00130B7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город Михайловка исполнены в сумме 116 391,9 тыс. руб. или на  100,9% </w:t>
      </w:r>
      <w:r w:rsidR="009C78DA" w:rsidRPr="00130B76">
        <w:rPr>
          <w:rFonts w:ascii="Times New Roman" w:hAnsi="Times New Roman" w:cs="Times New Roman"/>
          <w:sz w:val="24"/>
          <w:szCs w:val="24"/>
          <w:lang w:eastAsia="ru-RU"/>
        </w:rPr>
        <w:t>от уточненного плана</w:t>
      </w:r>
      <w:r w:rsidR="00200373" w:rsidRPr="00130B76">
        <w:rPr>
          <w:rFonts w:ascii="Times New Roman" w:hAnsi="Times New Roman" w:cs="Times New Roman"/>
          <w:sz w:val="24"/>
          <w:szCs w:val="24"/>
          <w:lang w:eastAsia="ru-RU"/>
        </w:rPr>
        <w:t xml:space="preserve"> 115 333,5 тыс. руб</w:t>
      </w:r>
      <w:r w:rsidR="009C78DA" w:rsidRPr="00130B7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00373" w:rsidRPr="00130B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78DA" w:rsidRPr="00130B7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00373" w:rsidRPr="00130B76">
        <w:rPr>
          <w:rFonts w:ascii="Times New Roman" w:hAnsi="Times New Roman" w:cs="Times New Roman"/>
          <w:sz w:val="24"/>
          <w:szCs w:val="24"/>
          <w:lang w:eastAsia="ru-RU"/>
        </w:rPr>
        <w:t xml:space="preserve"> 103,0% к уровню прошлого 2021 года.</w:t>
      </w:r>
      <w:r w:rsidR="009C78DA" w:rsidRPr="00130B76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доходы включают в себя:</w:t>
      </w:r>
    </w:p>
    <w:p w:rsidR="00B333D9" w:rsidRDefault="00F72521" w:rsidP="00B33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425BF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Арендная или иная плата за передачу в возмездное пользование муниципального имущества</w:t>
      </w:r>
      <w:r w:rsidR="00C642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</w:t>
      </w:r>
      <w:r w:rsidR="005B5940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тавляет </w:t>
      </w:r>
      <w:r w:rsidR="00A26B01">
        <w:rPr>
          <w:rFonts w:ascii="Times New Roman" w:eastAsia="Calibri" w:hAnsi="Times New Roman" w:cs="Times New Roman"/>
          <w:sz w:val="24"/>
          <w:szCs w:val="24"/>
          <w:lang w:eastAsia="ar-SA"/>
        </w:rPr>
        <w:t>98220,9</w:t>
      </w:r>
      <w:r w:rsidR="005B5940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</w:t>
      </w:r>
      <w:r w:rsidR="00A26B01">
        <w:rPr>
          <w:rFonts w:ascii="Times New Roman" w:eastAsia="Calibri" w:hAnsi="Times New Roman" w:cs="Times New Roman"/>
          <w:sz w:val="24"/>
          <w:szCs w:val="24"/>
          <w:lang w:eastAsia="ar-SA"/>
        </w:rPr>
        <w:t>84,4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от общей суммы </w:t>
      </w:r>
      <w:r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>доходов от использования имущества, находящегося в государственной и муниципальной</w:t>
      </w:r>
      <w:r w:rsidRPr="00425BF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>собственности</w:t>
      </w:r>
      <w:r w:rsidR="005B5940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 поступивших в 20</w:t>
      </w:r>
      <w:r w:rsidR="00001F5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A26B01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31427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году.</w:t>
      </w:r>
      <w:r w:rsidR="00A26B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Фактическое поступление арендной платы или иной платы за передачу в  возмездное пользование имущества относительно первоначально утвержденных п</w:t>
      </w:r>
      <w:r w:rsidR="00C642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лановых назначений составило </w:t>
      </w:r>
      <w:r w:rsidR="00EF7296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26B01">
        <w:rPr>
          <w:rFonts w:ascii="Times New Roman" w:eastAsia="Calibri" w:hAnsi="Times New Roman" w:cs="Times New Roman"/>
          <w:sz w:val="24"/>
          <w:szCs w:val="24"/>
          <w:lang w:eastAsia="ar-SA"/>
        </w:rPr>
        <w:t>06,3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%. Плановые назначения у</w:t>
      </w:r>
      <w:r w:rsidR="00C642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казанных доходов исполнен</w:t>
      </w:r>
      <w:r w:rsidR="00CC2A58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 на </w:t>
      </w:r>
      <w:r w:rsidR="00EF7296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A26B0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EF7296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A26B01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E42694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 По сравнению с</w:t>
      </w:r>
      <w:r w:rsidR="00EF7296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A26B01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</w:t>
      </w:r>
      <w:r w:rsidR="00BB1219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поступлени</w:t>
      </w:r>
      <w:r w:rsidR="00C6425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по данному виду доходов </w:t>
      </w:r>
      <w:r w:rsidR="00C6425F" w:rsidRPr="00BD2412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F7296" w:rsidRPr="00BD2412">
        <w:rPr>
          <w:rFonts w:ascii="Times New Roman" w:eastAsia="Calibri" w:hAnsi="Times New Roman" w:cs="Times New Roman"/>
          <w:sz w:val="24"/>
          <w:szCs w:val="24"/>
          <w:lang w:eastAsia="ar-SA"/>
        </w:rPr>
        <w:t>меньшились</w:t>
      </w:r>
      <w:r w:rsidR="00A83C99" w:rsidRPr="00BD24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="00EF7296" w:rsidRPr="00BD241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BD2412" w:rsidRPr="00BD2412">
        <w:rPr>
          <w:rFonts w:ascii="Times New Roman" w:eastAsia="Calibri" w:hAnsi="Times New Roman" w:cs="Times New Roman"/>
          <w:sz w:val="24"/>
          <w:szCs w:val="24"/>
          <w:lang w:eastAsia="ar-SA"/>
        </w:rPr>
        <w:t>58,5</w:t>
      </w:r>
      <w:r w:rsidRPr="00BD24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на  </w:t>
      </w:r>
      <w:r w:rsidR="00EF7296" w:rsidRPr="00BD2412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BD2412" w:rsidRPr="00BD2412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</w:t>
      </w:r>
      <w:r w:rsidR="00FF64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61DC6"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>Данное снижение</w:t>
      </w:r>
      <w:r w:rsidR="00130B76"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61DC6"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вызвано </w:t>
      </w:r>
      <w:r w:rsidR="00CB1BD9"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>снижением</w:t>
      </w:r>
      <w:r w:rsidR="00F71B7F"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поступлений </w:t>
      </w:r>
      <w:r w:rsidR="005D3244"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>от</w:t>
      </w:r>
      <w:r w:rsidR="00736DAC" w:rsidRPr="00C40B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00A0" w:rsidRPr="00C40B05">
        <w:rPr>
          <w:rFonts w:ascii="Times New Roman" w:hAnsi="Times New Roman" w:cs="Times New Roman"/>
          <w:sz w:val="24"/>
          <w:szCs w:val="24"/>
        </w:rPr>
        <w:t xml:space="preserve"> сдачи в аренду имущества, находящегося в оперативном управлении органов управления городских округов и созданных ими учреждений </w:t>
      </w:r>
      <w:r w:rsidR="00320E4F" w:rsidRPr="00C40B05">
        <w:rPr>
          <w:rFonts w:ascii="Times New Roman" w:hAnsi="Times New Roman" w:cs="Times New Roman"/>
          <w:sz w:val="24"/>
          <w:szCs w:val="24"/>
        </w:rPr>
        <w:t>исполнены на 100,3% к плану 980,0 тыс.руб.</w:t>
      </w:r>
      <w:r w:rsidR="005C00A0" w:rsidRPr="00C40B05">
        <w:rPr>
          <w:rFonts w:ascii="Times New Roman" w:hAnsi="Times New Roman" w:cs="Times New Roman"/>
          <w:sz w:val="24"/>
          <w:szCs w:val="24"/>
        </w:rPr>
        <w:t xml:space="preserve"> Снижение по отношению к прошлому году </w:t>
      </w:r>
      <w:r w:rsidR="00320E4F" w:rsidRPr="00C40B05">
        <w:rPr>
          <w:rFonts w:ascii="Times New Roman" w:hAnsi="Times New Roman" w:cs="Times New Roman"/>
          <w:sz w:val="24"/>
          <w:szCs w:val="24"/>
        </w:rPr>
        <w:t>на 4,2%,</w:t>
      </w:r>
      <w:r w:rsidR="005C00A0" w:rsidRPr="00C40B05">
        <w:rPr>
          <w:rFonts w:ascii="Times New Roman" w:hAnsi="Times New Roman" w:cs="Times New Roman"/>
          <w:sz w:val="24"/>
          <w:szCs w:val="24"/>
        </w:rPr>
        <w:t xml:space="preserve"> связано с внесением суммы арендной платы в 2021 году 154,9 тыс. руб., для организации переписи населения.</w:t>
      </w:r>
      <w:r w:rsidR="00320E4F" w:rsidRPr="00C40B05">
        <w:rPr>
          <w:rFonts w:ascii="Times New Roman" w:hAnsi="Times New Roman" w:cs="Times New Roman"/>
          <w:sz w:val="24"/>
          <w:szCs w:val="24"/>
        </w:rPr>
        <w:t xml:space="preserve"> Доходы от сдачи в аренду имущества, составляющего казну городского округа, исполнены на 101,8% к плану – 8 500,0 тыс. руб. По отношению к 2021 году снижение составило 2 279,9</w:t>
      </w:r>
      <w:r w:rsidR="00C40B05" w:rsidRPr="00C40B05">
        <w:rPr>
          <w:rFonts w:ascii="Times New Roman" w:hAnsi="Times New Roman" w:cs="Times New Roman"/>
          <w:sz w:val="24"/>
          <w:szCs w:val="24"/>
        </w:rPr>
        <w:t xml:space="preserve"> </w:t>
      </w:r>
      <w:r w:rsidR="00320E4F" w:rsidRPr="00C40B05">
        <w:rPr>
          <w:rFonts w:ascii="Times New Roman" w:hAnsi="Times New Roman" w:cs="Times New Roman"/>
          <w:sz w:val="24"/>
          <w:szCs w:val="24"/>
        </w:rPr>
        <w:t>тыс. руб</w:t>
      </w:r>
      <w:r w:rsidR="00C40B05" w:rsidRPr="00C40B05">
        <w:rPr>
          <w:rFonts w:ascii="Times New Roman" w:hAnsi="Times New Roman" w:cs="Times New Roman"/>
          <w:sz w:val="24"/>
          <w:szCs w:val="24"/>
        </w:rPr>
        <w:t>. или 20,8%</w:t>
      </w:r>
      <w:r w:rsidR="00320E4F" w:rsidRPr="00C40B05">
        <w:rPr>
          <w:rFonts w:ascii="Times New Roman" w:hAnsi="Times New Roman" w:cs="Times New Roman"/>
          <w:sz w:val="24"/>
          <w:szCs w:val="24"/>
        </w:rPr>
        <w:t>, что связано с расторжением ранее действовавших договоров аренды муниципального имущества.</w:t>
      </w:r>
    </w:p>
    <w:p w:rsidR="0069521E" w:rsidRPr="00B15667" w:rsidRDefault="00B333D9" w:rsidP="00B33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</w:t>
      </w:r>
      <w:r w:rsidR="005C00A0"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ренд</w:t>
      </w:r>
      <w:r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ная</w:t>
      </w:r>
      <w:r w:rsidR="005C00A0"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="00736DAC"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плат</w:t>
      </w:r>
      <w:r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</w:t>
      </w:r>
      <w:r w:rsidR="00F71B7F" w:rsidRPr="00B333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за земельные участки</w:t>
      </w:r>
      <w:r w:rsidR="00736DAC" w:rsidRPr="00B15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расположенные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территории городского округа исполнена в сумме 88582,6 тыс. руб. или  на 100,8%. По отношению к прошлому году поступления выросли на 2,3% или на 1964,3 тыс. руб. </w:t>
      </w:r>
      <w:r w:rsidR="00736DAC" w:rsidRPr="00B15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C7CE1" w:rsidRPr="002F4CBB" w:rsidRDefault="007E64A1" w:rsidP="00F72521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B15667">
        <w:rPr>
          <w:rFonts w:ascii="Times New Roman" w:eastAsia="Calibri" w:hAnsi="Times New Roman" w:cs="Times New Roman"/>
          <w:sz w:val="24"/>
          <w:szCs w:val="24"/>
          <w:lang w:eastAsia="ar-SA"/>
        </w:rPr>
        <w:t>В прошедшем 20</w:t>
      </w:r>
      <w:r w:rsidR="00F3611E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B15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администрацией городского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округа город Михайловка</w:t>
      </w:r>
      <w:r w:rsidR="00130B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55A6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проводилась </w:t>
      </w:r>
      <w:r w:rsidR="00CB1B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адресная </w:t>
      </w:r>
      <w:r w:rsidR="00255A6F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 с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должниками – арендаторами земельных участков</w:t>
      </w:r>
      <w:r w:rsidR="00CD3134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За 202</w:t>
      </w:r>
      <w:r w:rsidR="00F3611E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подготовили </w:t>
      </w:r>
      <w:r w:rsidR="002F4CBB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950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акта сверки</w:t>
      </w:r>
      <w:r w:rsidR="00CB1BD9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расчетов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, из них 45</w:t>
      </w:r>
      <w:r w:rsidR="002F4CBB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физическими лицами и </w:t>
      </w:r>
      <w:r w:rsidR="002F4CBB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юридическими лицами, оповестили по телефону </w:t>
      </w:r>
      <w:r w:rsidR="002F4CBB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600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физическое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</w:t>
      </w:r>
      <w:r w:rsidR="00255A6F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о, 6</w:t>
      </w:r>
      <w:r w:rsidR="002F4CBB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юридических лица, в результате чего </w:t>
      </w:r>
      <w:r w:rsidR="008C7CE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бюджет городского округа 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поступило арендной платы в сумме </w:t>
      </w:r>
      <w:r w:rsidR="002F4CBB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>405,5</w:t>
      </w:r>
      <w:r w:rsidR="00013D31" w:rsidRPr="002F4C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</w:t>
      </w:r>
    </w:p>
    <w:p w:rsidR="003F574A" w:rsidRPr="006E0248" w:rsidRDefault="00F72521" w:rsidP="008D3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За период с 01.01.20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6359F6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A83C99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31.12.20</w:t>
      </w:r>
      <w:r w:rsidR="006359F6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предъявлено </w:t>
      </w:r>
      <w:r w:rsidR="006359F6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1165</w:t>
      </w:r>
      <w:r w:rsidR="00FD0211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претензий </w:t>
      </w:r>
      <w:r w:rsidR="00B43A52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сумму 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16166,4</w:t>
      </w:r>
      <w:r w:rsidR="007366ED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руб., удовлетворено претензий 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="007366ED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сумму 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67,8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руб.; предъявлено 56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иск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сумму – 1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2743,0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удовлетворено 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386</w:t>
      </w:r>
      <w:r w:rsidR="007366ED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исков на сумму </w:t>
      </w:r>
      <w:r w:rsidR="00C747F5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05DCE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>550,0</w:t>
      </w:r>
      <w:r w:rsidR="007366ED" w:rsidRPr="00405D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="007366ED" w:rsidRPr="00F3611E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. </w:t>
      </w:r>
      <w:r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соответствии с предъявленными исками погашено в добровольном порядке</w:t>
      </w:r>
      <w:r w:rsidR="006E0248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 вынесения судебного решения </w:t>
      </w:r>
      <w:r w:rsidR="006E0248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42,0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</w:t>
      </w:r>
      <w:r w:rsidR="006E0248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погашено в добровольном порядке по решению судов </w:t>
      </w:r>
      <w:r w:rsidR="006E0248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18,0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тыс.руб., взыскано по исполнительным листам </w:t>
      </w:r>
      <w:r w:rsidR="006E0248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2191,5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</w:t>
      </w:r>
      <w:r w:rsidR="008C7CE1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п</w:t>
      </w:r>
      <w:r w:rsidR="007366ED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роводится работа по расторжению договоров аренды земельных участков с арендаторами, имеющими задолженность по арендной плате за землю. </w:t>
      </w:r>
    </w:p>
    <w:p w:rsidR="009F0D1A" w:rsidRPr="00C6159D" w:rsidRDefault="00CB1BD9" w:rsidP="009F0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Постановлением Администрации городского округа город Михайловка Волгоградской области от 30 августа 2017 г. N 2337 "Об утверждении Порядка принятия решения о признании безнадежной к взысканию, списанию, восстановлению в учете задолженности по денежным обязательствам перед бюджетом городского округа город Михайловка Волгоградской области"</w:t>
      </w:r>
      <w:r w:rsidR="00D2236E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6E0248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</w:t>
      </w:r>
      <w:r w:rsidR="009F0D1A" w:rsidRPr="006E02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была списана </w:t>
      </w:r>
      <w:r w:rsidR="009F0D1A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безнадежная к взысканию задолженность по аренде земельных участков в сумме 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964542,04</w:t>
      </w:r>
      <w:r w:rsidR="009F0D1A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руб.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(Постановление администрации г.о.г. Михайловка «О признании безнадежной к взысканию, списанию задолженности по денежным обязательствам перед бюджетом г.о.г. Михайловка Волгоградской области» 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04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.202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2071 – (750437,93</w:t>
      </w:r>
      <w:r w:rsidR="00C6159D">
        <w:rPr>
          <w:rFonts w:ascii="Times New Roman" w:eastAsia="Calibri" w:hAnsi="Times New Roman" w:cs="Times New Roman"/>
          <w:sz w:val="24"/>
          <w:szCs w:val="24"/>
          <w:lang w:eastAsia="ar-SA"/>
        </w:rPr>
        <w:t>руб.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и 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0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.202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№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2937- (214104,11</w:t>
      </w:r>
      <w:r w:rsidR="00C615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руб.</w:t>
      </w:r>
      <w:r w:rsidR="00C6159D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D2236E" w:rsidRPr="00C6159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22B79" w:rsidRDefault="009F0D1A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6159D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r w:rsidR="00FE0B11" w:rsidRPr="00C6159D">
        <w:rPr>
          <w:rFonts w:ascii="Times New Roman" w:eastAsia="Calibri" w:hAnsi="Times New Roman" w:cs="Calibri"/>
          <w:sz w:val="24"/>
          <w:szCs w:val="24"/>
          <w:lang w:eastAsia="ar-SA"/>
        </w:rPr>
        <w:t>о состоянию на 01.01.20</w:t>
      </w:r>
      <w:r w:rsidR="00300547" w:rsidRPr="00C6159D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CE112B" w:rsidRPr="00C6159D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F72521" w:rsidRPr="00C6159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по </w:t>
      </w:r>
      <w:r w:rsidR="00F72521" w:rsidRPr="00C6159D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арендной плате за пользование земельным участк</w:t>
      </w:r>
      <w:r w:rsidR="00F72521" w:rsidRPr="00CE112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ом</w:t>
      </w:r>
      <w:r w:rsidR="00F7252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име</w:t>
      </w:r>
      <w:r w:rsidR="00FE0B1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ется задолженность в сумме </w:t>
      </w:r>
      <w:r w:rsidR="00CE112B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48755,0 </w:t>
      </w:r>
      <w:r w:rsidR="008C7CE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руб. </w:t>
      </w:r>
      <w:r w:rsidR="00CE112B" w:rsidRPr="00CE112B">
        <w:rPr>
          <w:rFonts w:ascii="Times New Roman" w:eastAsia="Calibri" w:hAnsi="Times New Roman" w:cs="Calibri"/>
          <w:sz w:val="24"/>
          <w:szCs w:val="24"/>
          <w:lang w:eastAsia="ar-SA"/>
        </w:rPr>
        <w:t>(+1394,1</w:t>
      </w:r>
      <w:r w:rsidR="00962BB5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="00314279" w:rsidRPr="00CE112B">
        <w:rPr>
          <w:rFonts w:ascii="Times New Roman" w:eastAsia="Calibri" w:hAnsi="Times New Roman" w:cs="Calibri"/>
          <w:sz w:val="24"/>
          <w:szCs w:val="24"/>
          <w:lang w:eastAsia="ar-SA"/>
        </w:rPr>
        <w:t>, относительно предыдущего года</w:t>
      </w:r>
      <w:r w:rsidR="008C7CE1" w:rsidRPr="00CE112B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="00F7252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в том </w:t>
      </w:r>
      <w:r w:rsidR="004C63BA" w:rsidRPr="00CE112B">
        <w:rPr>
          <w:rFonts w:ascii="Times New Roman" w:eastAsia="Calibri" w:hAnsi="Times New Roman" w:cs="Calibri"/>
          <w:sz w:val="24"/>
          <w:szCs w:val="24"/>
          <w:lang w:eastAsia="ar-SA"/>
        </w:rPr>
        <w:t>числе текущая задолженность 20</w:t>
      </w:r>
      <w:r w:rsidR="008D31D2" w:rsidRPr="00CE112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CE112B" w:rsidRPr="00CE112B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7A17A0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года </w:t>
      </w:r>
      <w:r w:rsidR="008C7CE1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составляет </w:t>
      </w:r>
      <w:r w:rsidR="00CE112B" w:rsidRPr="00CE112B">
        <w:rPr>
          <w:rFonts w:ascii="Times New Roman" w:eastAsia="Calibri" w:hAnsi="Times New Roman" w:cs="Calibri"/>
          <w:sz w:val="24"/>
          <w:szCs w:val="24"/>
          <w:lang w:eastAsia="ar-SA"/>
        </w:rPr>
        <w:t>9864,5</w:t>
      </w:r>
      <w:r w:rsidR="00BB1219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="005B37D9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прошлых лет </w:t>
      </w:r>
      <w:r w:rsidR="008D31D2" w:rsidRPr="00CE112B">
        <w:rPr>
          <w:rFonts w:ascii="Times New Roman" w:eastAsia="Calibri" w:hAnsi="Times New Roman" w:cs="Calibri"/>
          <w:sz w:val="24"/>
          <w:szCs w:val="24"/>
          <w:lang w:eastAsia="ar-SA"/>
        </w:rPr>
        <w:t>–</w:t>
      </w:r>
      <w:r w:rsidR="00CE112B" w:rsidRPr="00CE112B">
        <w:rPr>
          <w:rFonts w:ascii="Times New Roman" w:eastAsia="Calibri" w:hAnsi="Times New Roman" w:cs="Calibri"/>
          <w:sz w:val="24"/>
          <w:szCs w:val="24"/>
          <w:lang w:eastAsia="ar-SA"/>
        </w:rPr>
        <w:t>38890,5</w:t>
      </w:r>
      <w:r w:rsidR="005B37D9" w:rsidRPr="00CE112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</w:p>
    <w:p w:rsidR="00EE7CEC" w:rsidRDefault="00EE7CEC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E7CEC" w:rsidRDefault="00EE7CEC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E7CEC" w:rsidRDefault="00EE7CEC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E7CEC" w:rsidRDefault="00EE7CEC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D4FFC" w:rsidRPr="003911E4" w:rsidRDefault="00EE7CEC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="0088712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Задолженность </w:t>
      </w:r>
      <w:r w:rsidR="00D2236E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арендаторов</w:t>
      </w:r>
      <w:r w:rsidR="0088712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(за исключением прочих) составляет 43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400,6</w:t>
      </w:r>
      <w:r w:rsidR="0088712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</w:t>
      </w:r>
      <w:r w:rsidR="009F0D1A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руб., в том числе </w:t>
      </w:r>
      <w:r w:rsidR="00E22B79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задолженность </w:t>
      </w:r>
      <w:r w:rsidR="001A20F4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предприятиям, 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в отношении</w:t>
      </w:r>
      <w:r w:rsidR="001A20F4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которых введена процедура банкротства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88712E" w:rsidRPr="003911E4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5000,00</w:t>
      </w:r>
      <w:r w:rsidR="001A20F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тыс. руб.,</w:t>
      </w:r>
      <w:r w:rsidR="00C6159D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9F0D1A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задолженность </w:t>
      </w:r>
      <w:r w:rsidR="004E6525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ликвидированным организациям – </w:t>
      </w:r>
      <w:r w:rsidR="008D6728" w:rsidRPr="003911E4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4000,0</w:t>
      </w:r>
      <w:r w:rsidR="004E6525" w:rsidRPr="003911E4">
        <w:rPr>
          <w:rFonts w:ascii="Times New Roman" w:eastAsia="Calibri" w:hAnsi="Times New Roman" w:cs="Calibri"/>
          <w:sz w:val="24"/>
          <w:szCs w:val="24"/>
          <w:lang w:eastAsia="ar-SA"/>
        </w:rPr>
        <w:t>тыс.руб.,</w:t>
      </w:r>
      <w:r w:rsidR="00A826DF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задолженность</w:t>
      </w:r>
      <w:r w:rsidR="009C4113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подлежащая списанию с связи со смертью </w:t>
      </w:r>
      <w:r w:rsidR="00A826DF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плательщик</w:t>
      </w:r>
      <w:r w:rsidR="009C4113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="00A826DF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– 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65,3</w:t>
      </w:r>
      <w:r w:rsidR="00A826DF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</w:t>
      </w:r>
      <w:r w:rsidR="00E22B79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руб. 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Направлено на взыскание в  Федеральную службу судебных приставов 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–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5903,0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</w:t>
      </w:r>
      <w:r w:rsidR="00D2236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задолженности на сумму 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16000</w:t>
      </w:r>
      <w:r w:rsidR="00D2236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направлены 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1165 </w:t>
      </w:r>
      <w:r w:rsidR="00D2236E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досудебны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х</w:t>
      </w:r>
      <w:r w:rsidR="00D2236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претензи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й</w:t>
      </w:r>
      <w:r w:rsidR="00EA2A4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F322A2" w:rsidRPr="003911E4">
        <w:rPr>
          <w:rFonts w:ascii="Times New Roman" w:eastAsia="Calibri" w:hAnsi="Times New Roman" w:cs="Calibri"/>
          <w:sz w:val="24"/>
          <w:szCs w:val="24"/>
          <w:lang w:eastAsia="ar-SA"/>
        </w:rPr>
        <w:t>Таким образом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>,  в целом задолженность</w:t>
      </w:r>
      <w:r w:rsidR="0088712E" w:rsidRPr="003911E4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сравнению с </w:t>
      </w:r>
      <w:r w:rsidR="0088712E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предыдущим годом,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велич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илась на 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>1198,4</w:t>
      </w:r>
      <w:r w:rsidR="007A2BE8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</w:t>
      </w:r>
      <w:r w:rsidR="003911E4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FC127A" w:rsidRPr="003911E4">
        <w:rPr>
          <w:rFonts w:ascii="Times New Roman" w:eastAsia="Calibri" w:hAnsi="Times New Roman" w:cs="Calibri"/>
          <w:sz w:val="24"/>
          <w:szCs w:val="24"/>
          <w:lang w:eastAsia="ar-SA"/>
        </w:rPr>
        <w:t>остается резерв пополнения доходной части бюджета.</w:t>
      </w:r>
    </w:p>
    <w:p w:rsidR="00C82ED5" w:rsidRPr="003911E4" w:rsidRDefault="00177FB8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911E4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E12DE1" w:rsidRPr="003911E4">
        <w:rPr>
          <w:rFonts w:ascii="Times New Roman" w:hAnsi="Times New Roman" w:cs="Times New Roman"/>
          <w:sz w:val="24"/>
          <w:szCs w:val="24"/>
        </w:rPr>
        <w:t>2</w:t>
      </w:r>
      <w:r w:rsidR="003911E4" w:rsidRPr="003911E4">
        <w:rPr>
          <w:rFonts w:ascii="Times New Roman" w:hAnsi="Times New Roman" w:cs="Times New Roman"/>
          <w:sz w:val="24"/>
          <w:szCs w:val="24"/>
        </w:rPr>
        <w:t>3</w:t>
      </w:r>
      <w:r w:rsidRPr="003911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1219" w:rsidRPr="003911E4">
        <w:rPr>
          <w:rFonts w:ascii="Times New Roman" w:hAnsi="Times New Roman" w:cs="Times New Roman"/>
          <w:sz w:val="24"/>
          <w:szCs w:val="24"/>
        </w:rPr>
        <w:t>,</w:t>
      </w:r>
      <w:r w:rsidR="00CA0F30" w:rsidRPr="003911E4">
        <w:rPr>
          <w:rFonts w:ascii="Times New Roman" w:hAnsi="Times New Roman" w:cs="Times New Roman"/>
          <w:sz w:val="24"/>
          <w:szCs w:val="24"/>
        </w:rPr>
        <w:t xml:space="preserve"> по доходам от </w:t>
      </w:r>
      <w:r w:rsidR="00F72521" w:rsidRPr="003911E4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аренды муниципального имущества</w:t>
      </w:r>
      <w:r w:rsidR="00BB1219" w:rsidRPr="003911E4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320E4F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F322A2" w:rsidRPr="003911E4">
        <w:rPr>
          <w:rFonts w:ascii="Times New Roman" w:eastAsia="Calibri" w:hAnsi="Times New Roman" w:cs="Calibri"/>
          <w:sz w:val="24"/>
          <w:szCs w:val="24"/>
          <w:lang w:eastAsia="ar-SA"/>
        </w:rPr>
        <w:t>также имеется задолженность</w:t>
      </w:r>
      <w:r w:rsidR="001B5A7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сумме </w:t>
      </w:r>
      <w:r w:rsidR="00C82ED5" w:rsidRPr="003911E4">
        <w:rPr>
          <w:rFonts w:ascii="Times New Roman" w:eastAsia="Calibri" w:hAnsi="Times New Roman" w:cs="Calibri"/>
          <w:sz w:val="24"/>
          <w:szCs w:val="24"/>
          <w:lang w:eastAsia="ar-SA"/>
        </w:rPr>
        <w:t>264,6</w:t>
      </w:r>
      <w:r w:rsidR="001B5A7E" w:rsidRPr="003911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</w:p>
    <w:p w:rsidR="00C82ED5" w:rsidRPr="00BC6C92" w:rsidRDefault="00F322A2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Н</w:t>
      </w:r>
      <w:r w:rsidR="00925638" w:rsidRPr="00BC6C92">
        <w:rPr>
          <w:rFonts w:ascii="Times New Roman" w:eastAsia="Calibri" w:hAnsi="Times New Roman" w:cs="Calibri"/>
          <w:sz w:val="24"/>
          <w:szCs w:val="24"/>
          <w:lang w:eastAsia="ar-SA"/>
        </w:rPr>
        <w:t>аиболее к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рупным плательщико</w:t>
      </w:r>
      <w:r w:rsidR="00925638" w:rsidRPr="00BC6C92">
        <w:rPr>
          <w:rFonts w:ascii="Times New Roman" w:eastAsia="Calibri" w:hAnsi="Times New Roman" w:cs="Calibri"/>
          <w:sz w:val="24"/>
          <w:szCs w:val="24"/>
          <w:lang w:eastAsia="ar-SA"/>
        </w:rPr>
        <w:t>м</w:t>
      </w:r>
      <w:r w:rsidR="00522ACD" w:rsidRPr="00BC6C9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имеющим задолженность</w:t>
      </w:r>
      <w:r w:rsidR="00522ACD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является</w:t>
      </w:r>
      <w:r w:rsidR="00C82ED5" w:rsidRPr="00BC6C92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C82ED5" w:rsidRPr="00BC6C92" w:rsidRDefault="00C82ED5" w:rsidP="00C82ED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522ACD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АО 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«СГ-Трейдинг»</w:t>
      </w:r>
      <w:r w:rsidR="00522ACD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="003911E4" w:rsidRPr="00BC6C92">
        <w:rPr>
          <w:rFonts w:ascii="Times New Roman" w:eastAsia="Calibri" w:hAnsi="Times New Roman" w:cs="Calibri"/>
          <w:sz w:val="24"/>
          <w:szCs w:val="24"/>
          <w:lang w:eastAsia="ar-SA"/>
        </w:rPr>
        <w:t>63,5</w:t>
      </w:r>
      <w:r w:rsidR="00FF5C77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="001B5A7E" w:rsidRPr="00BC6C92">
        <w:rPr>
          <w:rFonts w:ascii="Times New Roman" w:eastAsia="Calibri" w:hAnsi="Times New Roman" w:cs="Calibri"/>
          <w:sz w:val="24"/>
          <w:szCs w:val="24"/>
          <w:lang w:eastAsia="ar-SA"/>
        </w:rPr>
        <w:t>, в т.</w:t>
      </w:r>
      <w:r w:rsidR="00283AA9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ч.</w:t>
      </w:r>
      <w:r w:rsidR="00522ACD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пени </w:t>
      </w:r>
      <w:r w:rsidR="003911E4" w:rsidRPr="00BC6C92">
        <w:rPr>
          <w:rFonts w:ascii="Times New Roman" w:eastAsia="Calibri" w:hAnsi="Times New Roman" w:cs="Calibri"/>
          <w:sz w:val="24"/>
          <w:szCs w:val="24"/>
          <w:lang w:eastAsia="ar-SA"/>
        </w:rPr>
        <w:t>29,8</w:t>
      </w:r>
      <w:r w:rsidR="00522ACD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руб.),</w:t>
      </w:r>
    </w:p>
    <w:p w:rsidR="00C82ED5" w:rsidRPr="00BC6C92" w:rsidRDefault="003911E4" w:rsidP="00C82ED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- ИП Пудовкина Г.Г. (47,8</w:t>
      </w:r>
      <w:r w:rsidR="00C82ED5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в т. ч. пени 1,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="00C82ED5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руб.),</w:t>
      </w:r>
    </w:p>
    <w:p w:rsidR="00C82ED5" w:rsidRPr="00BC6C92" w:rsidRDefault="00C82ED5" w:rsidP="00C82ED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- ИП Удовиченко Я.В. (</w:t>
      </w:r>
      <w:r w:rsidR="003911E4" w:rsidRPr="00BC6C92">
        <w:rPr>
          <w:rFonts w:ascii="Times New Roman" w:eastAsia="Calibri" w:hAnsi="Times New Roman" w:cs="Calibri"/>
          <w:sz w:val="24"/>
          <w:szCs w:val="24"/>
          <w:lang w:eastAsia="ar-SA"/>
        </w:rPr>
        <w:t>78,6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в т. ч. пени 1</w:t>
      </w:r>
      <w:r w:rsidR="003911E4" w:rsidRPr="00BC6C92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,2 тыс. руб.),</w:t>
      </w:r>
    </w:p>
    <w:p w:rsidR="00C82ED5" w:rsidRPr="00BC6C92" w:rsidRDefault="003911E4" w:rsidP="00C82ED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C82ED5" w:rsidRPr="00BC6C92">
        <w:rPr>
          <w:rFonts w:ascii="Times New Roman" w:eastAsia="Calibri" w:hAnsi="Times New Roman" w:cs="Calibri"/>
          <w:sz w:val="24"/>
          <w:szCs w:val="24"/>
          <w:lang w:eastAsia="ar-SA"/>
        </w:rPr>
        <w:t>АО М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СК “Михайловский”</w:t>
      </w:r>
      <w:r w:rsidR="00C82ED5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173.0</w:t>
      </w:r>
      <w:r w:rsidR="00C82ED5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в т. ч. пени 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6.0</w:t>
      </w:r>
      <w:r w:rsidR="00C82ED5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руб.)</w:t>
      </w:r>
      <w:r w:rsidR="00051057" w:rsidRPr="00BC6C9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</w:p>
    <w:p w:rsidR="00BC6C92" w:rsidRPr="00BC6C92" w:rsidRDefault="00BC6C92" w:rsidP="00C82ED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- КПК “Касса взаимопомощи” (147,9 тыс. руб., в т. ч. пени 3,9 тыс. руб.),</w:t>
      </w:r>
    </w:p>
    <w:p w:rsidR="00F72521" w:rsidRPr="00425BF2" w:rsidRDefault="00522ACD" w:rsidP="00C82ED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>д</w:t>
      </w:r>
      <w:r w:rsidR="00992958" w:rsidRPr="00BC6C92">
        <w:rPr>
          <w:rFonts w:ascii="Times New Roman" w:eastAsia="Calibri" w:hAnsi="Times New Roman" w:cs="Calibri"/>
          <w:sz w:val="24"/>
          <w:szCs w:val="24"/>
          <w:lang w:eastAsia="ar-SA"/>
        </w:rPr>
        <w:t>ля взыскания</w:t>
      </w:r>
      <w:r w:rsidR="003911E4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которой </w:t>
      </w:r>
      <w:r w:rsidR="00992958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администрацией </w:t>
      </w:r>
      <w:r w:rsidR="00925638" w:rsidRPr="00BC6C92">
        <w:rPr>
          <w:rFonts w:ascii="Times New Roman" w:eastAsia="Calibri" w:hAnsi="Times New Roman" w:cs="Calibri"/>
          <w:sz w:val="24"/>
          <w:szCs w:val="24"/>
          <w:lang w:eastAsia="ar-SA"/>
        </w:rPr>
        <w:t>пр</w:t>
      </w:r>
      <w:r w:rsidR="00FC127A" w:rsidRPr="00BC6C92">
        <w:rPr>
          <w:rFonts w:ascii="Times New Roman" w:eastAsia="Calibri" w:hAnsi="Times New Roman" w:cs="Calibri"/>
          <w:sz w:val="24"/>
          <w:szCs w:val="24"/>
          <w:lang w:eastAsia="ar-SA"/>
        </w:rPr>
        <w:t>ов</w:t>
      </w:r>
      <w:r w:rsidR="00283AA9" w:rsidRPr="00BC6C92">
        <w:rPr>
          <w:rFonts w:ascii="Times New Roman" w:eastAsia="Calibri" w:hAnsi="Times New Roman" w:cs="Calibri"/>
          <w:sz w:val="24"/>
          <w:szCs w:val="24"/>
          <w:lang w:eastAsia="ar-SA"/>
        </w:rPr>
        <w:t>одится</w:t>
      </w:r>
      <w:r w:rsidR="003911E4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E03777" w:rsidRPr="00BC6C92">
        <w:rPr>
          <w:rFonts w:ascii="Times New Roman" w:eastAsia="Calibri" w:hAnsi="Times New Roman" w:cs="Calibri"/>
          <w:sz w:val="24"/>
          <w:szCs w:val="24"/>
          <w:lang w:eastAsia="ar-SA"/>
        </w:rPr>
        <w:t>работа</w:t>
      </w:r>
      <w:r w:rsidR="006C6B19" w:rsidRPr="00BC6C9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E03777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как в досудебном, так и</w:t>
      </w:r>
      <w:r w:rsidR="00637B83" w:rsidRPr="00BC6C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судебном порядке</w:t>
      </w:r>
      <w:r w:rsidR="00F72521" w:rsidRPr="00BC6C9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F94AF9" w:rsidRPr="00425BF2" w:rsidRDefault="00BC6C92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="00F94AF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соответствии со ст.62 БК РФ неналоговые доходы местных бюджетов формируются в соответствии со ст. 41,42 и 46 БК РФ, в том числе за счет части прибыли МУП,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</w:p>
    <w:p w:rsidR="00D74E79" w:rsidRPr="00425BF2" w:rsidRDefault="00DF01C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Пунктом </w:t>
      </w:r>
      <w:r w:rsidR="009B7D9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2.3. Решения Михайловской городской Думы Волгоградской обл</w:t>
      </w:r>
      <w:r w:rsidR="00076EAF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асти от 16.04.2014 года № 876 «</w:t>
      </w:r>
      <w:r w:rsidR="009B7D9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 утверждении Порядка определения размера части прибыли, подлежащей перечислению в бюджет городского округа город Михайловка Волгоградской области муниципальными унитарными предприятиями»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предусмотрено, что </w:t>
      </w:r>
      <w:r w:rsidR="009B7D9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размер части прибыли, подлежащей перечислению в бюджет городского округа муниципальным унитарным предприятиям, устанавливается Михайловской городской Думой и не может быть более 25% и менее 10%, остающейся в распоряжении муниципальных унитарных предприятий прибыли после уплаты налогов и иных обязательных платежей на очередной финансовый год. </w:t>
      </w:r>
      <w:r w:rsidR="000054CA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Пунктом 3.1. вышеуказанного Решения установлен срок  уплаты части прибыли, остающейся в распоряжении МУП</w:t>
      </w:r>
      <w:r w:rsidR="00D74E7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а именно,  </w:t>
      </w:r>
      <w:r w:rsidR="00C231A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до 1 августа</w:t>
      </w:r>
      <w:r w:rsidR="000054C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</w:p>
    <w:p w:rsidR="00F94AF9" w:rsidRPr="00425BF2" w:rsidRDefault="000054CA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Решением Михайловской городской Думы Волгоградской области от 11.06.2014 года № 882 «Об установлении размера отчислений части прибыли муниципальных унитарных предприятий, </w:t>
      </w:r>
      <w:r w:rsidR="00C231A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подлежащей перечислению в бюджет городского округа город Михайловка Волгоградской области» утвержден р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азмер части прибыли, остающейся в распоряжении муниципальных унитарных предприятий</w:t>
      </w:r>
      <w:r w:rsidR="00C231A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 подлеж</w:t>
      </w:r>
      <w:r w:rsidR="0003175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ащей перечислению в бюджет – 15 процентов</w:t>
      </w:r>
      <w:r w:rsidR="00D74E7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F361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>Согласно протоколу заседания балансовой комиссии по определению эффективности деятельности муниципальных унитарных предприятий</w:t>
      </w:r>
      <w:r w:rsidR="00410693" w:rsidRPr="0063308C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итогам работы за </w:t>
      </w:r>
      <w:r w:rsidR="00C93946" w:rsidRPr="0063308C">
        <w:rPr>
          <w:rFonts w:ascii="Times New Roman" w:eastAsia="Calibri" w:hAnsi="Times New Roman" w:cs="Calibri"/>
          <w:sz w:val="24"/>
          <w:szCs w:val="24"/>
          <w:lang w:eastAsia="ar-SA"/>
        </w:rPr>
        <w:t>202</w:t>
      </w:r>
      <w:r w:rsidR="0063308C" w:rsidRPr="0063308C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</w:t>
      </w:r>
      <w:r w:rsidR="00410693" w:rsidRPr="0063308C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1C0215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 </w:t>
      </w:r>
      <w:r w:rsidR="0063308C" w:rsidRPr="0063308C">
        <w:rPr>
          <w:rFonts w:ascii="Times New Roman" w:eastAsia="Calibri" w:hAnsi="Times New Roman" w:cs="Calibri"/>
          <w:sz w:val="24"/>
          <w:szCs w:val="24"/>
          <w:lang w:eastAsia="ar-SA"/>
        </w:rPr>
        <w:t>20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>.0</w:t>
      </w:r>
      <w:r w:rsidR="00B41F58" w:rsidRPr="0063308C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>.20</w:t>
      </w:r>
      <w:r w:rsidR="00C93946" w:rsidRPr="0063308C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3308C" w:rsidRPr="0063308C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результато</w:t>
      </w:r>
      <w:r w:rsidR="001C0215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 хозяйственной деятельности </w:t>
      </w:r>
      <w:r w:rsidR="00C93946" w:rsidRPr="0063308C">
        <w:rPr>
          <w:rFonts w:ascii="Times New Roman" w:eastAsia="Calibri" w:hAnsi="Times New Roman" w:cs="Calibri"/>
          <w:sz w:val="24"/>
          <w:szCs w:val="24"/>
          <w:lang w:eastAsia="ar-SA"/>
        </w:rPr>
        <w:t>двух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муниципальных</w:t>
      </w:r>
      <w:r w:rsidR="00767A7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унитарных предприятий из </w:t>
      </w:r>
      <w:r w:rsidR="00C93946" w:rsidRPr="0063308C">
        <w:rPr>
          <w:rFonts w:ascii="Times New Roman" w:eastAsia="Calibri" w:hAnsi="Times New Roman" w:cs="Calibri"/>
          <w:sz w:val="24"/>
          <w:szCs w:val="24"/>
          <w:lang w:eastAsia="ar-SA"/>
        </w:rPr>
        <w:t>четырех</w:t>
      </w:r>
      <w:r w:rsidR="00C231AC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является прибыль. </w:t>
      </w:r>
      <w:r w:rsidR="00761BBB" w:rsidRPr="006330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Общая сумма перечислений в бюджет в соответствии с установленным Михайловской городской Думой </w:t>
      </w:r>
      <w:r w:rsidR="00761BBB" w:rsidRPr="00A26EBF">
        <w:rPr>
          <w:rFonts w:ascii="Times New Roman" w:eastAsia="Calibri" w:hAnsi="Times New Roman" w:cs="Calibri"/>
          <w:sz w:val="24"/>
          <w:szCs w:val="24"/>
          <w:lang w:eastAsia="ar-SA"/>
        </w:rPr>
        <w:t>размером от</w:t>
      </w:r>
      <w:r w:rsidR="00C05A42" w:rsidRPr="00A26EBF">
        <w:rPr>
          <w:rFonts w:ascii="Times New Roman" w:eastAsia="Calibri" w:hAnsi="Times New Roman" w:cs="Calibri"/>
          <w:sz w:val="24"/>
          <w:szCs w:val="24"/>
          <w:lang w:eastAsia="ar-SA"/>
        </w:rPr>
        <w:t>числений должна составить в 2022</w:t>
      </w:r>
      <w:r w:rsidR="00761BBB" w:rsidRPr="00A26EB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</w:t>
      </w:r>
      <w:r w:rsidR="00A26EBF" w:rsidRPr="00A26EBF">
        <w:rPr>
          <w:rFonts w:ascii="Times New Roman" w:eastAsia="Calibri" w:hAnsi="Times New Roman" w:cs="Calibri"/>
          <w:sz w:val="24"/>
          <w:szCs w:val="24"/>
          <w:lang w:eastAsia="ar-SA"/>
        </w:rPr>
        <w:t>1298</w:t>
      </w:r>
      <w:r w:rsidR="00C93946" w:rsidRPr="00A26EBF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A26EBF" w:rsidRPr="00A26EBF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="00761BBB" w:rsidRPr="00A26EB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="00761BB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023FCC" w:rsidRPr="00425BF2" w:rsidRDefault="00023FCC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C6B19" w:rsidRPr="00425BF2" w:rsidRDefault="006C6B1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Style w:val="afa"/>
        <w:tblpPr w:leftFromText="180" w:rightFromText="180" w:vertAnchor="text" w:horzAnchor="margin" w:tblpY="-52"/>
        <w:tblW w:w="4844" w:type="pct"/>
        <w:tblLayout w:type="fixed"/>
        <w:tblLook w:val="04A0"/>
      </w:tblPr>
      <w:tblGrid>
        <w:gridCol w:w="251"/>
        <w:gridCol w:w="3358"/>
        <w:gridCol w:w="1890"/>
        <w:gridCol w:w="1891"/>
        <w:gridCol w:w="1882"/>
      </w:tblGrid>
      <w:tr w:rsidR="00C93946" w:rsidRPr="00425BF2" w:rsidTr="006359F6">
        <w:trPr>
          <w:trHeight w:val="983"/>
        </w:trPr>
        <w:tc>
          <w:tcPr>
            <w:tcW w:w="13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1811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Муниципальные унитарные предприятия</w:t>
            </w:r>
          </w:p>
        </w:tc>
        <w:tc>
          <w:tcPr>
            <w:tcW w:w="1019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Чистая</w:t>
            </w:r>
          </w:p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 xml:space="preserve"> Прибыль</w:t>
            </w:r>
          </w:p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ф. по ОКУД</w:t>
            </w:r>
          </w:p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0710002</w:t>
            </w:r>
          </w:p>
        </w:tc>
        <w:tc>
          <w:tcPr>
            <w:tcW w:w="1020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Сумма, подлежащая перечислению в бюджет (тыс. руб.)</w:t>
            </w:r>
          </w:p>
        </w:tc>
        <w:tc>
          <w:tcPr>
            <w:tcW w:w="101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 xml:space="preserve">Фактически перечислено в бюджет городского округа </w:t>
            </w:r>
          </w:p>
        </w:tc>
      </w:tr>
      <w:tr w:rsidR="00C93946" w:rsidRPr="00425BF2" w:rsidTr="00C93946">
        <w:tc>
          <w:tcPr>
            <w:tcW w:w="13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11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МУП «Михайловкажилпромгаз»</w:t>
            </w:r>
          </w:p>
        </w:tc>
        <w:tc>
          <w:tcPr>
            <w:tcW w:w="1019" w:type="pct"/>
          </w:tcPr>
          <w:p w:rsidR="00C93946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5316</w:t>
            </w:r>
            <w:r w:rsidR="00C93946" w:rsidRPr="00425BF2">
              <w:rPr>
                <w:rFonts w:eastAsia="Calibri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20" w:type="pct"/>
          </w:tcPr>
          <w:p w:rsidR="00C93946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797,4</w:t>
            </w:r>
          </w:p>
        </w:tc>
        <w:tc>
          <w:tcPr>
            <w:tcW w:w="101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пл. пор.</w:t>
            </w:r>
            <w:r w:rsidR="007E11BA">
              <w:rPr>
                <w:rFonts w:eastAsia="Calibri" w:cs="Calibri"/>
                <w:lang w:eastAsia="ar-SA"/>
              </w:rPr>
              <w:t xml:space="preserve"> </w:t>
            </w:r>
            <w:r w:rsidRPr="00425BF2">
              <w:rPr>
                <w:rFonts w:eastAsia="Calibri" w:cs="Calibri"/>
                <w:lang w:eastAsia="ar-SA"/>
              </w:rPr>
              <w:t>№ 58</w:t>
            </w:r>
            <w:r w:rsidR="007E11BA">
              <w:rPr>
                <w:rFonts w:eastAsia="Calibri" w:cs="Calibri"/>
                <w:lang w:eastAsia="ar-SA"/>
              </w:rPr>
              <w:t>4 от 31</w:t>
            </w:r>
            <w:r w:rsidRPr="00425BF2">
              <w:rPr>
                <w:rFonts w:eastAsia="Calibri" w:cs="Calibri"/>
                <w:lang w:eastAsia="ar-SA"/>
              </w:rPr>
              <w:t>.05.202</w:t>
            </w:r>
            <w:r w:rsidR="007E11BA">
              <w:rPr>
                <w:rFonts w:eastAsia="Calibri" w:cs="Calibri"/>
                <w:lang w:eastAsia="ar-SA"/>
              </w:rPr>
              <w:t>2</w:t>
            </w:r>
            <w:r w:rsidRPr="00425BF2">
              <w:rPr>
                <w:rFonts w:eastAsia="Calibri" w:cs="Calibri"/>
                <w:lang w:eastAsia="ar-SA"/>
              </w:rPr>
              <w:t xml:space="preserve"> на сумму </w:t>
            </w:r>
            <w:r w:rsidR="007E11BA">
              <w:rPr>
                <w:rFonts w:eastAsia="Calibri" w:cs="Calibri"/>
                <w:lang w:eastAsia="ar-SA"/>
              </w:rPr>
              <w:t>797404,92</w:t>
            </w:r>
            <w:r w:rsidRPr="00425BF2">
              <w:rPr>
                <w:rFonts w:eastAsia="Calibri" w:cs="Calibri"/>
                <w:lang w:eastAsia="ar-SA"/>
              </w:rPr>
              <w:t xml:space="preserve"> руб.</w:t>
            </w:r>
          </w:p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63308C" w:rsidRPr="00425BF2" w:rsidTr="00C93946">
        <w:tc>
          <w:tcPr>
            <w:tcW w:w="135" w:type="pct"/>
          </w:tcPr>
          <w:p w:rsidR="0063308C" w:rsidRPr="00425BF2" w:rsidRDefault="0063308C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1" w:type="pct"/>
          </w:tcPr>
          <w:p w:rsidR="0063308C" w:rsidRPr="00425BF2" w:rsidRDefault="0063308C" w:rsidP="0063308C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МУП «Михайловское водо</w:t>
            </w:r>
            <w:r w:rsidR="007E11BA">
              <w:rPr>
                <w:rFonts w:eastAsia="Calibri" w:cs="Calibri"/>
                <w:sz w:val="24"/>
                <w:szCs w:val="24"/>
                <w:lang w:eastAsia="ar-SA"/>
              </w:rPr>
              <w:t>проводно-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>канализационное</w:t>
            </w:r>
            <w:r w:rsidR="007E11BA">
              <w:rPr>
                <w:rFonts w:eastAsia="Calibri" w:cs="Calibri"/>
                <w:sz w:val="24"/>
                <w:szCs w:val="24"/>
                <w:lang w:eastAsia="ar-SA"/>
              </w:rPr>
              <w:t xml:space="preserve"> хозяйство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19" w:type="pct"/>
          </w:tcPr>
          <w:p w:rsidR="0063308C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-6545,0</w:t>
            </w:r>
          </w:p>
        </w:tc>
        <w:tc>
          <w:tcPr>
            <w:tcW w:w="1020" w:type="pct"/>
          </w:tcPr>
          <w:p w:rsidR="0063308C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5" w:type="pct"/>
          </w:tcPr>
          <w:p w:rsidR="0063308C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-</w:t>
            </w:r>
          </w:p>
        </w:tc>
      </w:tr>
      <w:tr w:rsidR="00C93946" w:rsidRPr="00425BF2" w:rsidTr="00C93946">
        <w:tc>
          <w:tcPr>
            <w:tcW w:w="13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11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МУП «Муниципальная аптека»</w:t>
            </w:r>
          </w:p>
        </w:tc>
        <w:tc>
          <w:tcPr>
            <w:tcW w:w="1019" w:type="pct"/>
          </w:tcPr>
          <w:p w:rsidR="00C93946" w:rsidRPr="00425BF2" w:rsidRDefault="0063308C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3343,0</w:t>
            </w:r>
          </w:p>
        </w:tc>
        <w:tc>
          <w:tcPr>
            <w:tcW w:w="1020" w:type="pct"/>
          </w:tcPr>
          <w:p w:rsidR="00C93946" w:rsidRPr="00425BF2" w:rsidRDefault="0063308C" w:rsidP="007E11BA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501,4</w:t>
            </w:r>
          </w:p>
        </w:tc>
        <w:tc>
          <w:tcPr>
            <w:tcW w:w="1015" w:type="pct"/>
          </w:tcPr>
          <w:p w:rsidR="00C93946" w:rsidRPr="00425BF2" w:rsidRDefault="00C93946" w:rsidP="00A26EBF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lang w:eastAsia="ar-SA"/>
              </w:rPr>
              <w:t>пл. пор.</w:t>
            </w:r>
            <w:r w:rsidR="007E11BA">
              <w:rPr>
                <w:rFonts w:eastAsia="Calibri" w:cs="Calibri"/>
                <w:lang w:eastAsia="ar-SA"/>
              </w:rPr>
              <w:t xml:space="preserve"> </w:t>
            </w:r>
            <w:r w:rsidRPr="00425BF2">
              <w:rPr>
                <w:rFonts w:eastAsia="Calibri" w:cs="Calibri"/>
                <w:lang w:eastAsia="ar-SA"/>
              </w:rPr>
              <w:t>№ 4</w:t>
            </w:r>
            <w:r w:rsidR="00A26EBF">
              <w:rPr>
                <w:rFonts w:eastAsia="Calibri" w:cs="Calibri"/>
                <w:lang w:eastAsia="ar-SA"/>
              </w:rPr>
              <w:t>13 от 31</w:t>
            </w:r>
            <w:r w:rsidRPr="00425BF2">
              <w:rPr>
                <w:rFonts w:eastAsia="Calibri" w:cs="Calibri"/>
                <w:lang w:eastAsia="ar-SA"/>
              </w:rPr>
              <w:t>.05.202</w:t>
            </w:r>
            <w:r w:rsidR="00A26EBF">
              <w:rPr>
                <w:rFonts w:eastAsia="Calibri" w:cs="Calibri"/>
                <w:lang w:eastAsia="ar-SA"/>
              </w:rPr>
              <w:t>2</w:t>
            </w:r>
            <w:r w:rsidRPr="00425BF2">
              <w:rPr>
                <w:rFonts w:eastAsia="Calibri" w:cs="Calibri"/>
                <w:lang w:eastAsia="ar-SA"/>
              </w:rPr>
              <w:t xml:space="preserve"> на сумму </w:t>
            </w:r>
            <w:r w:rsidR="00A26EBF">
              <w:rPr>
                <w:rFonts w:eastAsia="Calibri" w:cs="Calibri"/>
                <w:lang w:eastAsia="ar-SA"/>
              </w:rPr>
              <w:t xml:space="preserve">501426,0 </w:t>
            </w:r>
            <w:r w:rsidRPr="00425BF2">
              <w:rPr>
                <w:rFonts w:eastAsia="Calibri" w:cs="Calibri"/>
                <w:lang w:eastAsia="ar-SA"/>
              </w:rPr>
              <w:t>тыс. руб.</w:t>
            </w:r>
          </w:p>
        </w:tc>
      </w:tr>
      <w:tr w:rsidR="0063308C" w:rsidRPr="00425BF2" w:rsidTr="00C93946">
        <w:tc>
          <w:tcPr>
            <w:tcW w:w="135" w:type="pct"/>
          </w:tcPr>
          <w:p w:rsidR="0063308C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1" w:type="pct"/>
          </w:tcPr>
          <w:p w:rsidR="0063308C" w:rsidRPr="00425BF2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МУП «Городское хозяйство»</w:t>
            </w:r>
          </w:p>
        </w:tc>
        <w:tc>
          <w:tcPr>
            <w:tcW w:w="1019" w:type="pct"/>
          </w:tcPr>
          <w:p w:rsidR="0063308C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991,0</w:t>
            </w:r>
          </w:p>
        </w:tc>
        <w:tc>
          <w:tcPr>
            <w:tcW w:w="1020" w:type="pct"/>
          </w:tcPr>
          <w:p w:rsidR="0063308C" w:rsidRDefault="007E11BA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В стадии ликвидации</w:t>
            </w:r>
          </w:p>
        </w:tc>
        <w:tc>
          <w:tcPr>
            <w:tcW w:w="1015" w:type="pct"/>
          </w:tcPr>
          <w:p w:rsidR="0063308C" w:rsidRPr="00425BF2" w:rsidRDefault="0063308C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C93946" w:rsidRPr="00425BF2" w:rsidTr="00C93946">
        <w:tc>
          <w:tcPr>
            <w:tcW w:w="135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11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25BF2">
              <w:rPr>
                <w:rFonts w:eastAsia="Calibri" w:cs="Calibri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19" w:type="pct"/>
          </w:tcPr>
          <w:p w:rsidR="00C93946" w:rsidRPr="00425BF2" w:rsidRDefault="00C93946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020" w:type="pct"/>
          </w:tcPr>
          <w:p w:rsidR="00C93946" w:rsidRPr="00425BF2" w:rsidRDefault="00A26EBF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1298,8</w:t>
            </w:r>
          </w:p>
        </w:tc>
        <w:tc>
          <w:tcPr>
            <w:tcW w:w="1015" w:type="pct"/>
          </w:tcPr>
          <w:p w:rsidR="00C93946" w:rsidRPr="00425BF2" w:rsidRDefault="00A26EBF" w:rsidP="00C93946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1298830,92</w:t>
            </w:r>
          </w:p>
        </w:tc>
      </w:tr>
    </w:tbl>
    <w:p w:rsidR="006E352D" w:rsidRDefault="006E352D" w:rsidP="00201AAC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</w:p>
    <w:p w:rsidR="00201AAC" w:rsidRPr="008C758B" w:rsidRDefault="00201AAC" w:rsidP="00201AAC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C758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Общая сумма доходов</w:t>
      </w:r>
      <w:r w:rsidR="005B5ED3" w:rsidRPr="008C758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 от перечисления части прибыли, остающейся после уплаты налогов </w:t>
      </w:r>
      <w:r w:rsidR="005C46FA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в</w:t>
      </w:r>
      <w:r w:rsidR="00E3558D" w:rsidRPr="008C758B">
        <w:rPr>
          <w:rFonts w:ascii="Times New Roman" w:eastAsia="Calibri" w:hAnsi="Times New Roman" w:cs="Calibri"/>
          <w:sz w:val="24"/>
          <w:szCs w:val="24"/>
          <w:lang w:eastAsia="ar-SA"/>
        </w:rPr>
        <w:t>20</w:t>
      </w:r>
      <w:r w:rsidR="00A26EBF" w:rsidRPr="008C758B">
        <w:rPr>
          <w:rFonts w:ascii="Times New Roman" w:eastAsia="Calibri" w:hAnsi="Times New Roman" w:cs="Calibri"/>
          <w:sz w:val="24"/>
          <w:szCs w:val="24"/>
          <w:lang w:eastAsia="ar-SA"/>
        </w:rPr>
        <w:t>22</w:t>
      </w:r>
      <w:r w:rsidR="005B5ED3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</w:t>
      </w:r>
      <w:r w:rsidR="00E3558D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д</w:t>
      </w:r>
      <w:r w:rsidR="005C46FA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у</w:t>
      </w:r>
      <w:r w:rsidR="00F3611E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23FCC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фактически </w:t>
      </w: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>составила</w:t>
      </w:r>
      <w:r w:rsidR="006B7AAF" w:rsidRPr="008C758B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A26EBF" w:rsidRPr="008C758B">
        <w:rPr>
          <w:rFonts w:ascii="Times New Roman" w:eastAsia="Calibri" w:hAnsi="Times New Roman" w:cs="Calibri"/>
          <w:sz w:val="24"/>
          <w:szCs w:val="24"/>
          <w:lang w:eastAsia="ar-SA"/>
        </w:rPr>
        <w:t>298830,92</w:t>
      </w:r>
      <w:r w:rsidR="00671B34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руб., что составляет </w:t>
      </w:r>
      <w:r w:rsidR="008C758B" w:rsidRPr="008C758B">
        <w:rPr>
          <w:rFonts w:ascii="Times New Roman" w:eastAsia="Calibri" w:hAnsi="Times New Roman" w:cs="Calibri"/>
          <w:sz w:val="24"/>
          <w:szCs w:val="24"/>
          <w:lang w:eastAsia="ar-SA"/>
        </w:rPr>
        <w:t>1,1</w:t>
      </w:r>
      <w:r w:rsidR="005B5ED3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от </w:t>
      </w:r>
      <w:r w:rsidR="005B5ED3" w:rsidRPr="008C75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общей суммы </w:t>
      </w:r>
      <w:r w:rsidR="005B5ED3" w:rsidRPr="008C75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доходов от использования имущества, находящегося в государственной и муниципальной собственности. 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Проверкой установлено, что </w:t>
      </w:r>
      <w:r w:rsidR="00716FF7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сумма чистой  прибыли предприятий и сумма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час</w:t>
      </w:r>
      <w:r w:rsidR="00716FF7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ти прибыли, подлежащей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перечислению в бюджет городского округа, соответству</w:t>
      </w:r>
      <w:r w:rsidR="00716FF7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ю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>т бухгалтерской отчетности учреждени</w:t>
      </w:r>
      <w:r w:rsidR="00716FF7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й, размещенной в сети интернет</w:t>
      </w:r>
      <w:r w:rsidR="009268AE" w:rsidRPr="008C758B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F72521" w:rsidRPr="00425BF2" w:rsidRDefault="00F72521" w:rsidP="00F72521">
      <w:pPr>
        <w:tabs>
          <w:tab w:val="left" w:pos="615"/>
        </w:tabs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Выполнение поступлений по отношению к </w:t>
      </w:r>
      <w:r w:rsidR="00FC2390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первоначально </w:t>
      </w: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>ут</w:t>
      </w:r>
      <w:r w:rsidR="00C04FDE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вержденному</w:t>
      </w: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  составля</w:t>
      </w:r>
      <w:r w:rsidR="006E1158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 </w:t>
      </w:r>
      <w:r w:rsidR="006B7AAF" w:rsidRPr="008C758B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8C758B" w:rsidRPr="008C758B">
        <w:rPr>
          <w:rFonts w:ascii="Times New Roman" w:eastAsia="Calibri" w:hAnsi="Times New Roman" w:cs="Calibri"/>
          <w:sz w:val="24"/>
          <w:szCs w:val="24"/>
          <w:lang w:eastAsia="ar-SA"/>
        </w:rPr>
        <w:t>08,2</w:t>
      </w:r>
      <w:r w:rsidR="006E1158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%, </w:t>
      </w:r>
      <w:r w:rsidR="00FC2390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к ут</w:t>
      </w:r>
      <w:r w:rsidR="003A6C7A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очненным бюджетным назначениям</w:t>
      </w:r>
      <w:r w:rsidR="00FC2390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100,</w:t>
      </w:r>
      <w:r w:rsidR="003A6C7A" w:rsidRPr="008C758B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="00FC2390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%, к </w:t>
      </w:r>
      <w:r w:rsidR="006E1158" w:rsidRPr="008C758B">
        <w:rPr>
          <w:rFonts w:ascii="Times New Roman" w:eastAsia="Calibri" w:hAnsi="Times New Roman" w:cs="Calibri"/>
          <w:sz w:val="24"/>
          <w:szCs w:val="24"/>
          <w:lang w:eastAsia="ar-SA"/>
        </w:rPr>
        <w:t>пре</w:t>
      </w:r>
      <w:r w:rsidR="00E3558D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дыдущему году </w:t>
      </w:r>
      <w:r w:rsidR="008C758B" w:rsidRPr="008C758B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="006B7AAF" w:rsidRPr="008C758B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="008C758B" w:rsidRPr="008C758B">
        <w:rPr>
          <w:rFonts w:ascii="Times New Roman" w:eastAsia="Calibri" w:hAnsi="Times New Roman" w:cs="Calibri"/>
          <w:sz w:val="24"/>
          <w:szCs w:val="24"/>
          <w:lang w:eastAsia="ar-SA"/>
        </w:rPr>
        <w:t>,4</w:t>
      </w:r>
      <w:r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</w:t>
      </w:r>
      <w:r w:rsidR="003A6C7A" w:rsidRPr="008C758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22149E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Прочие доходы от использования имущества и прав, находящихся в муниципальной собственности</w:t>
      </w:r>
      <w:r w:rsidR="001C793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 </w:t>
      </w:r>
      <w:r w:rsidR="00EF39B8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 20</w:t>
      </w:r>
      <w:r w:rsidR="007721B8">
        <w:rPr>
          <w:rFonts w:ascii="Times New Roman" w:eastAsia="Calibri" w:hAnsi="Times New Roman" w:cs="Calibri"/>
          <w:sz w:val="24"/>
          <w:szCs w:val="24"/>
          <w:lang w:eastAsia="ar-SA"/>
        </w:rPr>
        <w:t>22</w:t>
      </w:r>
      <w:r w:rsidR="00EF39B8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году, составили  </w:t>
      </w:r>
      <w:r w:rsidR="007721B8">
        <w:rPr>
          <w:rFonts w:ascii="Times New Roman" w:eastAsia="Calibri" w:hAnsi="Times New Roman" w:cs="Calibri"/>
          <w:sz w:val="24"/>
          <w:szCs w:val="24"/>
          <w:lang w:eastAsia="ar-SA"/>
        </w:rPr>
        <w:t>16872,1</w:t>
      </w:r>
      <w:r w:rsidR="00EF39B8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или </w:t>
      </w:r>
      <w:r w:rsidR="00664D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14</w:t>
      </w:r>
      <w:r w:rsidR="007721B8">
        <w:rPr>
          <w:rFonts w:ascii="Times New Roman" w:eastAsia="Calibri" w:hAnsi="Times New Roman" w:cs="Calibri"/>
          <w:sz w:val="24"/>
          <w:szCs w:val="24"/>
          <w:lang w:eastAsia="ar-SA"/>
        </w:rPr>
        <w:t>,5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от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общей суммы </w:t>
      </w:r>
      <w:r w:rsidRPr="00425BF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доходов от использования имущества, находящегося в государственной и муниципальной собственности.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Отклонение от  ут</w:t>
      </w:r>
      <w:r w:rsidR="00C04FD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вержденных</w:t>
      </w:r>
      <w:r w:rsidR="00C57D8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плановых показателей  </w:t>
      </w:r>
      <w:r w:rsidR="007721B8">
        <w:rPr>
          <w:rFonts w:ascii="Times New Roman" w:eastAsia="Calibri" w:hAnsi="Times New Roman" w:cs="Calibri"/>
          <w:sz w:val="24"/>
          <w:szCs w:val="24"/>
          <w:lang w:eastAsia="ar-SA"/>
        </w:rPr>
        <w:t>167,4</w:t>
      </w:r>
      <w:r w:rsidR="00660D26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или </w:t>
      </w:r>
      <w:r w:rsidR="007721B8">
        <w:rPr>
          <w:rFonts w:ascii="Times New Roman" w:eastAsia="Calibri" w:hAnsi="Times New Roman" w:cs="Calibri"/>
          <w:sz w:val="24"/>
          <w:szCs w:val="24"/>
          <w:lang w:eastAsia="ar-SA"/>
        </w:rPr>
        <w:t>1,0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%, от первоначального плана на 20</w:t>
      </w:r>
      <w:r w:rsidR="007721B8">
        <w:rPr>
          <w:rFonts w:ascii="Times New Roman" w:eastAsia="Calibri" w:hAnsi="Times New Roman" w:cs="Calibri"/>
          <w:sz w:val="24"/>
          <w:szCs w:val="24"/>
          <w:lang w:eastAsia="ar-SA"/>
        </w:rPr>
        <w:t>22</w:t>
      </w:r>
      <w:r w:rsidR="00B513A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="00664D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>72,1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или 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>31,2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</w:t>
      </w:r>
    </w:p>
    <w:p w:rsidR="00C46523" w:rsidRPr="00425BF2" w:rsidRDefault="00DC2835" w:rsidP="00D61D5A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Рост поступлений </w:t>
      </w:r>
      <w:r w:rsidR="0022149E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связан 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>с увеличением количества заключенных новых договоров.</w:t>
      </w:r>
    </w:p>
    <w:p w:rsidR="00185419" w:rsidRDefault="00F72521" w:rsidP="00D7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Доходы от  продажи материальных и нематериальных активов</w:t>
      </w:r>
      <w:r w:rsidR="00E2382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 а именно</w:t>
      </w:r>
      <w:r w:rsidR="00A4084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E2382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</w:t>
      </w:r>
      <w:r w:rsidR="00A20BEC" w:rsidRPr="00425BF2">
        <w:rPr>
          <w:rFonts w:ascii="Times New Roman" w:hAnsi="Times New Roman" w:cs="Times New Roman"/>
          <w:sz w:val="24"/>
          <w:szCs w:val="24"/>
        </w:rPr>
        <w:t>актические поступления по дохода</w:t>
      </w:r>
      <w:r w:rsidR="00C57D8A" w:rsidRPr="00425BF2">
        <w:rPr>
          <w:rFonts w:ascii="Times New Roman" w:hAnsi="Times New Roman" w:cs="Times New Roman"/>
          <w:sz w:val="24"/>
          <w:szCs w:val="24"/>
        </w:rPr>
        <w:t>м от реализации имущ</w:t>
      </w:r>
      <w:r w:rsidR="004B18D6" w:rsidRPr="00425BF2">
        <w:rPr>
          <w:rFonts w:ascii="Times New Roman" w:hAnsi="Times New Roman" w:cs="Times New Roman"/>
          <w:sz w:val="24"/>
          <w:szCs w:val="24"/>
        </w:rPr>
        <w:t>ества в 20</w:t>
      </w:r>
      <w:r w:rsidR="007422A4" w:rsidRPr="00425BF2">
        <w:rPr>
          <w:rFonts w:ascii="Times New Roman" w:hAnsi="Times New Roman" w:cs="Times New Roman"/>
          <w:sz w:val="24"/>
          <w:szCs w:val="24"/>
        </w:rPr>
        <w:t>2</w:t>
      </w:r>
      <w:r w:rsidR="00185419">
        <w:rPr>
          <w:rFonts w:ascii="Times New Roman" w:hAnsi="Times New Roman" w:cs="Times New Roman"/>
          <w:sz w:val="24"/>
          <w:szCs w:val="24"/>
        </w:rPr>
        <w:t>2</w:t>
      </w:r>
      <w:r w:rsidR="004B18D6" w:rsidRPr="00425BF2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185419">
        <w:rPr>
          <w:rFonts w:ascii="Times New Roman" w:hAnsi="Times New Roman" w:cs="Times New Roman"/>
          <w:sz w:val="24"/>
          <w:szCs w:val="24"/>
        </w:rPr>
        <w:t>7911,0</w:t>
      </w:r>
      <w:r w:rsidR="00A20BEC" w:rsidRPr="00425BF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57D8A" w:rsidRPr="00425BF2">
        <w:rPr>
          <w:rFonts w:ascii="Times New Roman" w:hAnsi="Times New Roman" w:cs="Times New Roman"/>
          <w:sz w:val="24"/>
          <w:szCs w:val="24"/>
        </w:rPr>
        <w:t>(10</w:t>
      </w:r>
      <w:r w:rsidR="00185419">
        <w:rPr>
          <w:rFonts w:ascii="Times New Roman" w:hAnsi="Times New Roman" w:cs="Times New Roman"/>
          <w:sz w:val="24"/>
          <w:szCs w:val="24"/>
        </w:rPr>
        <w:t>2,2</w:t>
      </w:r>
      <w:r w:rsidR="00A20BEC" w:rsidRPr="00425BF2">
        <w:rPr>
          <w:rFonts w:ascii="Times New Roman" w:hAnsi="Times New Roman" w:cs="Times New Roman"/>
          <w:sz w:val="24"/>
          <w:szCs w:val="24"/>
        </w:rPr>
        <w:t xml:space="preserve"> %) от плана с учето</w:t>
      </w:r>
      <w:r w:rsidR="00C57D8A" w:rsidRPr="00425BF2">
        <w:rPr>
          <w:rFonts w:ascii="Times New Roman" w:hAnsi="Times New Roman" w:cs="Times New Roman"/>
          <w:sz w:val="24"/>
          <w:szCs w:val="24"/>
        </w:rPr>
        <w:t>м всех внесенных изменений (</w:t>
      </w:r>
      <w:r w:rsidR="00185419">
        <w:rPr>
          <w:rFonts w:ascii="Times New Roman" w:hAnsi="Times New Roman" w:cs="Times New Roman"/>
          <w:sz w:val="24"/>
          <w:szCs w:val="24"/>
        </w:rPr>
        <w:t>7738,1</w:t>
      </w:r>
      <w:r w:rsidR="00E23825" w:rsidRPr="00425BF2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185419" w:rsidRDefault="007422A4" w:rsidP="00D7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К уровню 202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A4084D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отмечается снижение поступлений в 2,2 раза </w:t>
      </w:r>
      <w:r w:rsidR="00117EA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или на </w:t>
      </w:r>
      <w:r w:rsidR="00185419">
        <w:rPr>
          <w:rFonts w:ascii="Times New Roman" w:eastAsia="Calibri" w:hAnsi="Times New Roman" w:cs="Calibri"/>
          <w:sz w:val="24"/>
          <w:szCs w:val="24"/>
          <w:lang w:eastAsia="ar-SA"/>
        </w:rPr>
        <w:t>9303,4</w:t>
      </w:r>
      <w:r w:rsidR="00117EA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C130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D73E2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A20BEC" w:rsidRPr="00425BF2" w:rsidRDefault="00D73E22" w:rsidP="00A1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общей сумме </w:t>
      </w:r>
      <w:r w:rsidR="00B37FF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неналоговых </w:t>
      </w:r>
      <w:r w:rsidR="00740911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доходов</w:t>
      </w:r>
      <w:r w:rsidR="001854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23825" w:rsidRPr="00425BF2">
        <w:rPr>
          <w:rFonts w:ascii="Times New Roman" w:hAnsi="Times New Roman" w:cs="Times New Roman"/>
          <w:sz w:val="24"/>
          <w:szCs w:val="24"/>
        </w:rPr>
        <w:t>доходы от реализации имущества составляют</w:t>
      </w:r>
      <w:r w:rsidR="00C92338">
        <w:rPr>
          <w:rFonts w:ascii="Times New Roman" w:hAnsi="Times New Roman" w:cs="Times New Roman"/>
          <w:sz w:val="24"/>
          <w:szCs w:val="24"/>
        </w:rPr>
        <w:t xml:space="preserve"> 5</w:t>
      </w:r>
      <w:r w:rsidR="00117EAB" w:rsidRPr="00425BF2">
        <w:rPr>
          <w:rFonts w:ascii="Times New Roman" w:hAnsi="Times New Roman" w:cs="Times New Roman"/>
          <w:sz w:val="24"/>
          <w:szCs w:val="24"/>
        </w:rPr>
        <w:t>,4</w:t>
      </w:r>
      <w:r w:rsidR="00057D15" w:rsidRPr="00425BF2">
        <w:rPr>
          <w:rFonts w:ascii="Times New Roman" w:hAnsi="Times New Roman" w:cs="Times New Roman"/>
          <w:sz w:val="24"/>
          <w:szCs w:val="24"/>
        </w:rPr>
        <w:t>%,из них</w:t>
      </w:r>
      <w:r w:rsidR="00A20BEC" w:rsidRPr="00425BF2">
        <w:rPr>
          <w:rFonts w:ascii="Times New Roman" w:hAnsi="Times New Roman" w:cs="Times New Roman"/>
          <w:sz w:val="24"/>
          <w:szCs w:val="24"/>
        </w:rPr>
        <w:t>:</w:t>
      </w:r>
    </w:p>
    <w:p w:rsidR="00A11242" w:rsidRDefault="00924F1E" w:rsidP="00A11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Times New Roman" w:hAnsi="Times New Roman" w:cs="Times New Roman"/>
          <w:sz w:val="24"/>
          <w:szCs w:val="24"/>
        </w:rPr>
        <w:t xml:space="preserve">- </w:t>
      </w:r>
      <w:r w:rsidR="00C92338">
        <w:rPr>
          <w:rFonts w:ascii="Times New Roman" w:hAnsi="Times New Roman" w:cs="Times New Roman"/>
          <w:sz w:val="24"/>
          <w:szCs w:val="24"/>
        </w:rPr>
        <w:t>5582,2</w:t>
      </w:r>
      <w:r w:rsidR="00A20BEC" w:rsidRPr="00425BF2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057D15" w:rsidRPr="00425BF2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</w:t>
      </w:r>
      <w:r w:rsidR="00740911" w:rsidRPr="00425BF2">
        <w:rPr>
          <w:rFonts w:ascii="Times New Roman" w:hAnsi="Times New Roman" w:cs="Times New Roman"/>
          <w:sz w:val="24"/>
          <w:szCs w:val="24"/>
        </w:rPr>
        <w:t>(</w:t>
      </w:r>
      <w:r w:rsidRPr="00425BF2">
        <w:rPr>
          <w:rFonts w:ascii="Times New Roman" w:hAnsi="Times New Roman" w:cs="Times New Roman"/>
          <w:sz w:val="24"/>
          <w:szCs w:val="24"/>
        </w:rPr>
        <w:t>2</w:t>
      </w:r>
      <w:r w:rsidR="002A7D0A" w:rsidRPr="00425BF2">
        <w:rPr>
          <w:rFonts w:ascii="Times New Roman" w:hAnsi="Times New Roman" w:cs="Times New Roman"/>
          <w:sz w:val="24"/>
          <w:szCs w:val="24"/>
        </w:rPr>
        <w:t>,</w:t>
      </w:r>
      <w:r w:rsidR="00117EAB" w:rsidRPr="00425BF2">
        <w:rPr>
          <w:rFonts w:ascii="Times New Roman" w:hAnsi="Times New Roman" w:cs="Times New Roman"/>
          <w:sz w:val="24"/>
          <w:szCs w:val="24"/>
        </w:rPr>
        <w:t>5</w:t>
      </w:r>
      <w:r w:rsidR="00A20BEC" w:rsidRPr="00425BF2">
        <w:rPr>
          <w:rFonts w:ascii="Times New Roman" w:hAnsi="Times New Roman" w:cs="Times New Roman"/>
          <w:sz w:val="24"/>
          <w:szCs w:val="24"/>
        </w:rPr>
        <w:t xml:space="preserve"> %</w:t>
      </w:r>
      <w:r w:rsidR="00057D15" w:rsidRPr="00425BF2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B15539" w:rsidRPr="00425BF2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1F354B" w:rsidRPr="00425BF2">
        <w:rPr>
          <w:rFonts w:ascii="Times New Roman" w:hAnsi="Times New Roman" w:cs="Times New Roman"/>
          <w:sz w:val="24"/>
          <w:szCs w:val="24"/>
        </w:rPr>
        <w:t>доходов</w:t>
      </w:r>
      <w:r w:rsidR="00C1306D" w:rsidRPr="00425BF2">
        <w:rPr>
          <w:rFonts w:ascii="Times New Roman" w:hAnsi="Times New Roman" w:cs="Times New Roman"/>
          <w:sz w:val="24"/>
          <w:szCs w:val="24"/>
        </w:rPr>
        <w:t>)</w:t>
      </w:r>
      <w:r w:rsidR="00A20BEC" w:rsidRPr="00425BF2">
        <w:rPr>
          <w:rFonts w:ascii="Times New Roman" w:hAnsi="Times New Roman" w:cs="Times New Roman"/>
          <w:sz w:val="24"/>
          <w:szCs w:val="24"/>
        </w:rPr>
        <w:t xml:space="preserve">. </w:t>
      </w:r>
      <w:r w:rsidR="00CC56D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Отклонение от  ут</w:t>
      </w:r>
      <w:r w:rsidR="00451B61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вержденных</w:t>
      </w:r>
      <w:r w:rsidR="00CC56D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плановых показателей  (</w:t>
      </w:r>
      <w:r w:rsidR="005F072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+</w:t>
      </w:r>
      <w:r w:rsidR="00C92338">
        <w:rPr>
          <w:rFonts w:ascii="Times New Roman" w:eastAsia="Calibri" w:hAnsi="Times New Roman" w:cs="Calibri"/>
          <w:sz w:val="24"/>
          <w:szCs w:val="24"/>
          <w:lang w:eastAsia="ar-SA"/>
        </w:rPr>
        <w:t>153,5</w:t>
      </w:r>
      <w:r w:rsidR="00CC56D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) тыс</w:t>
      </w:r>
      <w:r w:rsidR="00CC56D5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. руб., или (</w:t>
      </w:r>
      <w:r w:rsidR="005F0729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C92338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2,8</w:t>
      </w:r>
      <w:r w:rsidR="00CC56D5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%), </w:t>
      </w:r>
      <w:r w:rsidR="00072DED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от первоначального плана на 20</w:t>
      </w:r>
      <w:r w:rsidR="00117EAB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C92338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CC56D5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(</w:t>
      </w:r>
      <w:r w:rsidR="00B60E42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C92338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2352,2</w:t>
      </w:r>
      <w:r w:rsidR="00CC56D5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) тыс. руб. или (</w:t>
      </w:r>
      <w:r w:rsidR="00983A07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+72,8</w:t>
      </w:r>
      <w:r w:rsidR="002F5700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>) %;</w:t>
      </w:r>
      <w:r w:rsidR="00983A07" w:rsidRPr="00983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83A07" w:rsidRPr="00983A07">
        <w:rPr>
          <w:rFonts w:ascii="Times New Roman" w:hAnsi="Times New Roman" w:cs="Times New Roman"/>
          <w:sz w:val="24"/>
          <w:szCs w:val="24"/>
        </w:rPr>
        <w:t xml:space="preserve">За 2022 год продано собственникам объектов недвижимости 155 земельных участков, общей площадью 21,4 га. </w:t>
      </w:r>
    </w:p>
    <w:p w:rsidR="00D87710" w:rsidRPr="00425BF2" w:rsidRDefault="00990DA1" w:rsidP="00A11242">
      <w:pPr>
        <w:spacing w:after="0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983A0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2328,8 </w:t>
      </w:r>
      <w:r w:rsidR="00D87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руб. доходы от продажи муниципального имущества</w:t>
      </w:r>
      <w:r w:rsidR="00983A07">
        <w:rPr>
          <w:rFonts w:ascii="Times New Roman" w:eastAsia="Calibri" w:hAnsi="Times New Roman" w:cs="Calibri"/>
          <w:sz w:val="24"/>
          <w:szCs w:val="24"/>
          <w:lang w:eastAsia="ar-SA"/>
        </w:rPr>
        <w:t>, что в соотношении</w:t>
      </w:r>
      <w:r w:rsidR="00D87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="00983A07">
        <w:rPr>
          <w:rFonts w:ascii="Times New Roman" w:eastAsia="Calibri" w:hAnsi="Times New Roman" w:cs="Calibri"/>
          <w:sz w:val="24"/>
          <w:szCs w:val="24"/>
          <w:lang w:eastAsia="ar-SA"/>
        </w:rPr>
        <w:t>к</w:t>
      </w:r>
      <w:r w:rsidR="00D87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</w:t>
      </w:r>
      <w:r w:rsidR="00983A07">
        <w:rPr>
          <w:rFonts w:ascii="Times New Roman" w:eastAsia="Calibri" w:hAnsi="Times New Roman" w:cs="Calibri"/>
          <w:sz w:val="24"/>
          <w:szCs w:val="24"/>
          <w:lang w:eastAsia="ar-SA"/>
        </w:rPr>
        <w:t>у</w:t>
      </w:r>
      <w:r w:rsidR="00D87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20</w:t>
      </w:r>
      <w:r w:rsidR="00983A07">
        <w:rPr>
          <w:rFonts w:ascii="Times New Roman" w:eastAsia="Calibri" w:hAnsi="Times New Roman" w:cs="Calibri"/>
          <w:sz w:val="24"/>
          <w:szCs w:val="24"/>
          <w:lang w:eastAsia="ar-SA"/>
        </w:rPr>
        <w:t>22</w:t>
      </w:r>
      <w:r w:rsidR="00D8771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="002A45B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составило </w:t>
      </w:r>
      <w:r w:rsidR="007939F0">
        <w:rPr>
          <w:rFonts w:ascii="Times New Roman" w:eastAsia="Calibri" w:hAnsi="Times New Roman" w:cs="Calibri"/>
          <w:sz w:val="24"/>
          <w:szCs w:val="24"/>
          <w:lang w:eastAsia="ar-SA"/>
        </w:rPr>
        <w:t>100,8%</w:t>
      </w:r>
      <w:r w:rsidR="002A45B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тыс. руб., </w:t>
      </w:r>
      <w:r w:rsidR="007939F0">
        <w:rPr>
          <w:rFonts w:ascii="Times New Roman" w:eastAsia="Calibri" w:hAnsi="Times New Roman" w:cs="Calibri"/>
          <w:sz w:val="24"/>
          <w:szCs w:val="24"/>
          <w:lang w:eastAsia="ar-SA"/>
        </w:rPr>
        <w:t>по отношению к прошлому году происходит снижение доходов на 11066,0 тыс. руб. (или 5,8 раз).</w:t>
      </w:r>
    </w:p>
    <w:p w:rsidR="00E92056" w:rsidRDefault="002F5700" w:rsidP="00A1124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380662">
        <w:rPr>
          <w:rFonts w:ascii="Times New Roman" w:hAnsi="Times New Roman" w:cs="Times New Roman"/>
          <w:sz w:val="24"/>
          <w:szCs w:val="24"/>
        </w:rPr>
        <w:t>Данные поступления делятся на</w:t>
      </w:r>
      <w:r w:rsidR="00380662" w:rsidRPr="00380662">
        <w:rPr>
          <w:rFonts w:ascii="Times New Roman" w:hAnsi="Times New Roman" w:cs="Times New Roman"/>
          <w:sz w:val="24"/>
          <w:szCs w:val="24"/>
        </w:rPr>
        <w:t>:</w:t>
      </w:r>
    </w:p>
    <w:p w:rsidR="00380662" w:rsidRDefault="00380662" w:rsidP="00A1124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- 2298,8 тыс. руб., которые сложились в соответствии с поступлениями по действующим договорам купли – продажи и залога муниципального имущества, заключенными с субъектами малого и среднего предпринимательства, договорам, завершившим свое действие, а так же вновь заключенным в 2022 году. (В 2021 году была произведена оплата в полном ра</w:t>
      </w:r>
      <w:r w:rsidR="000740F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мере двух объектов недвижимости на сумму более 9 млн. руб.).</w:t>
      </w:r>
    </w:p>
    <w:p w:rsidR="00380662" w:rsidRDefault="00380662" w:rsidP="00380662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- 30,0 тыс.руб.</w:t>
      </w:r>
      <w:r w:rsidR="000740F0">
        <w:rPr>
          <w:rFonts w:ascii="Times New Roman" w:hAnsi="Times New Roman" w:cs="Times New Roman"/>
          <w:sz w:val="24"/>
          <w:szCs w:val="24"/>
        </w:rPr>
        <w:t>, поступивших  результате реализации имущества, находящегося в оперативном управлении учреждений, находящихся в ведении органов управления городского округа (за исключением муниципальных бюджетных и автономных учреждений), в части реализации запасов по указанному имуществу, металлолома.</w:t>
      </w:r>
    </w:p>
    <w:p w:rsidR="000740F0" w:rsidRDefault="000740F0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973485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Доходы от оказания платных услуг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Фактическ</w:t>
      </w:r>
      <w:r w:rsidR="00A11242">
        <w:rPr>
          <w:rFonts w:ascii="Times New Roman" w:eastAsia="Calibri" w:hAnsi="Times New Roman" w:cs="Times New Roman"/>
          <w:sz w:val="24"/>
          <w:szCs w:val="24"/>
          <w:lang w:eastAsia="ar-SA"/>
        </w:rPr>
        <w:t>ое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поступл</w:t>
      </w:r>
      <w:r w:rsidR="00A11242">
        <w:rPr>
          <w:rFonts w:ascii="Times New Roman" w:eastAsia="Calibri" w:hAnsi="Times New Roman" w:cs="Times New Roman"/>
          <w:sz w:val="24"/>
          <w:szCs w:val="24"/>
          <w:lang w:eastAsia="ar-SA"/>
        </w:rPr>
        <w:t>ение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36599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вышеуказанных доходов 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 20</w:t>
      </w:r>
      <w:r w:rsidR="0029543E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A1124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</w:t>
      </w:r>
      <w:r w:rsidR="00A11242">
        <w:rPr>
          <w:rFonts w:ascii="Times New Roman" w:eastAsia="Calibri" w:hAnsi="Times New Roman" w:cs="Times New Roman"/>
          <w:sz w:val="24"/>
          <w:szCs w:val="24"/>
          <w:lang w:eastAsia="ar-SA"/>
        </w:rPr>
        <w:t>7934,4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что </w:t>
      </w:r>
      <w:r w:rsidR="00FA045D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ниже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первоначально запланированных сумм на </w:t>
      </w:r>
      <w:r w:rsidR="00A11242">
        <w:rPr>
          <w:rFonts w:ascii="Times New Roman" w:eastAsia="Calibri" w:hAnsi="Times New Roman" w:cs="Times New Roman"/>
          <w:sz w:val="24"/>
          <w:szCs w:val="24"/>
          <w:lang w:eastAsia="ar-SA"/>
        </w:rPr>
        <w:t>2250,7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на </w:t>
      </w:r>
      <w:r w:rsidR="00A11242">
        <w:rPr>
          <w:rFonts w:ascii="Times New Roman" w:eastAsia="Calibri" w:hAnsi="Times New Roman" w:cs="Times New Roman"/>
          <w:sz w:val="24"/>
          <w:szCs w:val="24"/>
          <w:lang w:eastAsia="ar-SA"/>
        </w:rPr>
        <w:t>22,1</w:t>
      </w:r>
      <w:r w:rsidR="005D6547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 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Отклонение</w:t>
      </w:r>
      <w:r w:rsidR="00023D7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сторону </w:t>
      </w:r>
      <w:r w:rsidR="00A11242">
        <w:rPr>
          <w:rFonts w:ascii="Times New Roman" w:eastAsia="Calibri" w:hAnsi="Times New Roman" w:cs="Calibri"/>
          <w:sz w:val="24"/>
          <w:szCs w:val="24"/>
          <w:lang w:eastAsia="ar-SA"/>
        </w:rPr>
        <w:t>снижения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фактических поступлений от </w:t>
      </w:r>
      <w:r w:rsidR="00F5301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утвержденных 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r w:rsidR="00F5301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лановых показателей составляет </w:t>
      </w:r>
      <w:r w:rsidR="00A11242">
        <w:rPr>
          <w:rFonts w:ascii="Times New Roman" w:eastAsia="Calibri" w:hAnsi="Times New Roman" w:cs="Calibri"/>
          <w:sz w:val="24"/>
          <w:szCs w:val="24"/>
          <w:lang w:eastAsia="ar-SA"/>
        </w:rPr>
        <w:t>1221,2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таким образом, план по доходам от оказания платных услуг выполнен на </w:t>
      </w:r>
      <w:r w:rsidR="00641C39">
        <w:rPr>
          <w:rFonts w:ascii="Times New Roman" w:eastAsia="Calibri" w:hAnsi="Times New Roman" w:cs="Calibri"/>
          <w:sz w:val="24"/>
          <w:szCs w:val="24"/>
          <w:lang w:eastAsia="ar-SA"/>
        </w:rPr>
        <w:t>86,7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 </w:t>
      </w:r>
      <w:r w:rsidR="00023D7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К уровню 202</w:t>
      </w:r>
      <w:r w:rsidR="00641C39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общая сумма поступлений </w:t>
      </w:r>
      <w:r w:rsidR="00023D7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у</w:t>
      </w:r>
      <w:r w:rsidR="00641C39">
        <w:rPr>
          <w:rFonts w:ascii="Times New Roman" w:eastAsia="Calibri" w:hAnsi="Times New Roman" w:cs="Calibri"/>
          <w:sz w:val="24"/>
          <w:szCs w:val="24"/>
          <w:lang w:eastAsia="ar-SA"/>
        </w:rPr>
        <w:t>меньшилась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</w:t>
      </w:r>
      <w:r w:rsidR="00023D7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641C39">
        <w:rPr>
          <w:rFonts w:ascii="Times New Roman" w:eastAsia="Calibri" w:hAnsi="Times New Roman" w:cs="Calibri"/>
          <w:sz w:val="24"/>
          <w:szCs w:val="24"/>
          <w:lang w:eastAsia="ar-SA"/>
        </w:rPr>
        <w:t>262,9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или на </w:t>
      </w:r>
      <w:r w:rsidR="00641C39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023D7C" w:rsidRPr="00425BF2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="00641C39">
        <w:rPr>
          <w:rFonts w:ascii="Times New Roman" w:eastAsia="Calibri" w:hAnsi="Times New Roman" w:cs="Calibri"/>
          <w:sz w:val="24"/>
          <w:szCs w:val="24"/>
          <w:lang w:eastAsia="ar-SA"/>
        </w:rPr>
        <w:t>,7</w:t>
      </w:r>
      <w:r w:rsidR="009827EA" w:rsidRPr="00425BF2">
        <w:rPr>
          <w:rFonts w:ascii="Times New Roman" w:eastAsia="Calibri" w:hAnsi="Times New Roman" w:cs="Calibri"/>
          <w:sz w:val="24"/>
          <w:szCs w:val="24"/>
          <w:lang w:eastAsia="ar-SA"/>
        </w:rPr>
        <w:t>%.</w:t>
      </w:r>
    </w:p>
    <w:p w:rsidR="00F75953" w:rsidRPr="00425BF2" w:rsidRDefault="008A76AA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В целом д</w:t>
      </w:r>
      <w:r w:rsidR="00BD2AEC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оходы от оказания платных услуг и компенса</w:t>
      </w:r>
      <w:r w:rsidR="00F7595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ции затрат государства состоят:</w:t>
      </w:r>
    </w:p>
    <w:p w:rsidR="00F75953" w:rsidRDefault="00F75953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из родительской платы за присмотр и уход за ребенком (размер родительской платы утвержден постановлением администрации </w:t>
      </w:r>
      <w:r w:rsidRPr="00393334">
        <w:rPr>
          <w:rFonts w:ascii="Times New Roman" w:eastAsia="Calibri" w:hAnsi="Times New Roman" w:cs="Times New Roman"/>
          <w:sz w:val="24"/>
          <w:szCs w:val="24"/>
          <w:lang w:eastAsia="ar-SA"/>
        </w:rPr>
        <w:t>от 19.01.2018 г. № 114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347A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347A0D">
        <w:rPr>
          <w:rFonts w:ascii="Times New Roman" w:eastAsia="Calibri" w:hAnsi="Times New Roman" w:cs="Times New Roman"/>
          <w:sz w:val="24"/>
          <w:szCs w:val="24"/>
          <w:lang w:eastAsia="ar-SA"/>
        </w:rPr>
        <w:t>5179,1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руб.;</w:t>
      </w:r>
    </w:p>
    <w:p w:rsidR="00347A0D" w:rsidRPr="00347A0D" w:rsidRDefault="00347A0D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прочие платные услуги, оказываемые МКУ г.о.г. Михайловка – 923,1 тыс.руб.</w:t>
      </w:r>
      <w:r w:rsidRPr="00347A0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365993" w:rsidRPr="00425BF2" w:rsidRDefault="00347A0D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F7595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 во</w:t>
      </w:r>
      <w:r w:rsidR="00721D80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змещения </w:t>
      </w:r>
      <w:r w:rsidR="003933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расходов, в связи с эксплуатацией имущества </w:t>
      </w:r>
      <w:r w:rsidR="00721D80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825,8</w:t>
      </w:r>
      <w:r w:rsidR="00F75953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руб.;</w:t>
      </w:r>
    </w:p>
    <w:p w:rsidR="00F75953" w:rsidRDefault="00F75953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>-компенсации затрат бюджета городского округа</w:t>
      </w:r>
      <w:r w:rsidR="00AF7DC5"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="00347A0D">
        <w:rPr>
          <w:rFonts w:ascii="Times New Roman" w:eastAsia="Calibri" w:hAnsi="Times New Roman" w:cs="Times New Roman"/>
          <w:sz w:val="24"/>
          <w:szCs w:val="24"/>
          <w:lang w:eastAsia="ar-SA"/>
        </w:rPr>
        <w:t>1006,4</w:t>
      </w:r>
      <w:r w:rsidRPr="00425B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</w:t>
      </w:r>
    </w:p>
    <w:p w:rsidR="006B5A07" w:rsidRPr="006B5A07" w:rsidRDefault="006B5A07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07">
        <w:rPr>
          <w:rFonts w:ascii="Times New Roman" w:hAnsi="Times New Roman" w:cs="Times New Roman"/>
          <w:sz w:val="24"/>
          <w:szCs w:val="24"/>
        </w:rPr>
        <w:t>При детализации данных доходов наблюдается уменьшение поступлений платежей по родительской плате за содержание ребенка в общеобразовательных организациях, в результате снижения численности детей на 56 человек, что отразилось на посещаемости.</w:t>
      </w:r>
    </w:p>
    <w:p w:rsidR="006B5A07" w:rsidRDefault="006B5A07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313348" w:rsidRDefault="00F72521" w:rsidP="00F72521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Поступление в доход бюджета городского</w:t>
      </w:r>
      <w:r w:rsidR="0070600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20</w:t>
      </w:r>
      <w:r w:rsidR="00503FD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16228E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Pr="00425BF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платежей при пользовании </w:t>
      </w:r>
      <w:r w:rsidRPr="006B5A0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природными ресурсами</w:t>
      </w:r>
      <w:r w:rsidR="0081180C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составило </w:t>
      </w:r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2302,2 </w:t>
      </w:r>
      <w:r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руб., или </w:t>
      </w:r>
      <w:r w:rsidR="00503FD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503FD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,1</w:t>
      </w:r>
      <w:r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по отношению к уточненному плану</w:t>
      </w:r>
      <w:r w:rsidR="0097348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в 2 раза больше</w:t>
      </w:r>
      <w:r w:rsidR="0097348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первона</w:t>
      </w:r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чально предусмотренному плану (+1202,2</w:t>
      </w:r>
      <w:r w:rsidR="00973485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руб.)</w:t>
      </w:r>
      <w:r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B5A07" w:rsidRPr="006B5A07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6B5A07" w:rsidRPr="006B5A07">
        <w:rPr>
          <w:rFonts w:ascii="Times New Roman" w:hAnsi="Times New Roman" w:cs="Times New Roman"/>
          <w:sz w:val="24"/>
          <w:szCs w:val="24"/>
        </w:rPr>
        <w:t>аблюдается рост платежей за выбросы загрязняющих веществ в атмосферный воздух стационарными объектами – 2,7 раза, что объясняется увеличением п</w:t>
      </w:r>
      <w:r w:rsidR="006B5A07" w:rsidRPr="00313348">
        <w:rPr>
          <w:rFonts w:ascii="Times New Roman" w:hAnsi="Times New Roman" w:cs="Times New Roman"/>
          <w:sz w:val="24"/>
          <w:szCs w:val="24"/>
        </w:rPr>
        <w:t>оступлений от АО «Себряковцемент». Вместе с этим, плата за сбросы загрязняющих веществ в водные объекты снизилась на 25,0 тыс. руб., а доходы от платы за размещение отходов производства и потребления в 2022 увеличились на 24,6 тыс. руб.</w:t>
      </w:r>
    </w:p>
    <w:p w:rsidR="00D61D5A" w:rsidRPr="00313348" w:rsidRDefault="00D61D5A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D61D5A" w:rsidRPr="00313348" w:rsidRDefault="00F72521" w:rsidP="00D61D5A">
      <w:pPr>
        <w:autoSpaceDE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Штрафы, санкции, возмещение ущерба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20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поступили в бюджет городского округа в сумме 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11288,4</w:t>
      </w:r>
      <w:r w:rsidR="003A6AA1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,1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% по отношению к уточне</w:t>
      </w:r>
      <w:r w:rsidR="00A43CE4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нному плану. По сравнению 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с 202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   поступления </w:t>
      </w:r>
      <w:r w:rsidR="00C57D8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выросли 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1586,2</w:t>
      </w:r>
      <w:r w:rsidR="00C57D8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 на 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503FD5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  <w:r w:rsidR="00D61D5A" w:rsidRPr="00313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61D5A" w:rsidRPr="00313348">
        <w:rPr>
          <w:rFonts w:ascii="Times New Roman" w:hAnsi="Times New Roman" w:cs="Times New Roman"/>
          <w:sz w:val="24"/>
          <w:szCs w:val="24"/>
        </w:rPr>
        <w:t>Наблюдается рост по административным штрафам, за административные правонарушения. Отмечается увеличение штрафов за правонарушения в области предпринимательской деятельности, продажи алкогольной и спиртосодержащей продукции, а также за правонарушения, посягающие на общественный порядок и общественную безопасность. Основной причиной увеличения зачислений от штрафов в 2022 году являются поступления в результате просрочки исполнения подрядчиком обязательств, предусмотренных муниципальным контрактом на сумму 1 516,0 тыс. рублей.</w:t>
      </w:r>
    </w:p>
    <w:p w:rsidR="005E6402" w:rsidRPr="00313348" w:rsidRDefault="005E6402" w:rsidP="005E64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Прочие неналоговые доходы бюджета</w:t>
      </w:r>
      <w:r w:rsidRPr="00313348">
        <w:rPr>
          <w:rFonts w:ascii="Times New Roman" w:hAnsi="Times New Roman" w:cs="Times New Roman"/>
          <w:sz w:val="24"/>
          <w:szCs w:val="24"/>
        </w:rPr>
        <w:t xml:space="preserve"> городского округа составили - 55,4тыс. руб</w:t>
      </w:r>
      <w:r w:rsidR="001B3159" w:rsidRPr="00313348">
        <w:rPr>
          <w:rFonts w:ascii="Times New Roman" w:hAnsi="Times New Roman" w:cs="Times New Roman"/>
          <w:sz w:val="24"/>
          <w:szCs w:val="24"/>
        </w:rPr>
        <w:t>.</w:t>
      </w:r>
      <w:r w:rsidRPr="00313348">
        <w:rPr>
          <w:rFonts w:ascii="Times New Roman" w:hAnsi="Times New Roman" w:cs="Times New Roman"/>
          <w:sz w:val="24"/>
          <w:szCs w:val="24"/>
        </w:rPr>
        <w:t>:</w:t>
      </w:r>
    </w:p>
    <w:p w:rsidR="005E6402" w:rsidRPr="00313348" w:rsidRDefault="005E6402" w:rsidP="005E64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348">
        <w:rPr>
          <w:rFonts w:ascii="Times New Roman" w:hAnsi="Times New Roman" w:cs="Times New Roman"/>
          <w:sz w:val="24"/>
          <w:szCs w:val="24"/>
        </w:rPr>
        <w:t>- минус 22,0 тыс. руб</w:t>
      </w:r>
      <w:r w:rsidR="001B3159" w:rsidRPr="00313348">
        <w:rPr>
          <w:rFonts w:ascii="Times New Roman" w:hAnsi="Times New Roman" w:cs="Times New Roman"/>
          <w:sz w:val="24"/>
          <w:szCs w:val="24"/>
        </w:rPr>
        <w:t>.</w:t>
      </w:r>
      <w:r w:rsidRPr="00313348">
        <w:rPr>
          <w:rFonts w:ascii="Times New Roman" w:hAnsi="Times New Roman" w:cs="Times New Roman"/>
          <w:sz w:val="24"/>
          <w:szCs w:val="24"/>
        </w:rPr>
        <w:t xml:space="preserve"> невыясненные поступления;</w:t>
      </w:r>
    </w:p>
    <w:p w:rsidR="005E6402" w:rsidRPr="00313348" w:rsidRDefault="005E6402" w:rsidP="005E64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348">
        <w:rPr>
          <w:rFonts w:ascii="Times New Roman" w:hAnsi="Times New Roman" w:cs="Times New Roman"/>
          <w:sz w:val="24"/>
          <w:szCs w:val="24"/>
        </w:rPr>
        <w:t>- 77,4 тыс. руб</w:t>
      </w:r>
      <w:r w:rsidR="001B3159" w:rsidRPr="00313348">
        <w:rPr>
          <w:rFonts w:ascii="Times New Roman" w:hAnsi="Times New Roman" w:cs="Times New Roman"/>
          <w:sz w:val="24"/>
          <w:szCs w:val="24"/>
        </w:rPr>
        <w:t>.</w:t>
      </w:r>
      <w:r w:rsidRPr="00313348">
        <w:rPr>
          <w:rFonts w:ascii="Times New Roman" w:hAnsi="Times New Roman" w:cs="Times New Roman"/>
          <w:sz w:val="24"/>
          <w:szCs w:val="24"/>
        </w:rPr>
        <w:t xml:space="preserve"> прочие неналоговые доходы.</w:t>
      </w:r>
    </w:p>
    <w:p w:rsidR="00BC6C92" w:rsidRPr="00313348" w:rsidRDefault="005E6402" w:rsidP="005E64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348">
        <w:rPr>
          <w:rFonts w:ascii="Times New Roman" w:hAnsi="Times New Roman" w:cs="Times New Roman"/>
          <w:sz w:val="24"/>
          <w:szCs w:val="24"/>
        </w:rPr>
        <w:t xml:space="preserve">Денежные средства, отнесенные к невыясненным поступлениям отражены с отрицательным знаком в связи с уточнением платежей за 2021 год в отчетном 2022 году. </w:t>
      </w:r>
    </w:p>
    <w:p w:rsidR="005E6402" w:rsidRPr="00BC6C92" w:rsidRDefault="00BC6C92" w:rsidP="005E64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E6402" w:rsidRPr="00BC6C92">
        <w:rPr>
          <w:rFonts w:ascii="Times New Roman" w:hAnsi="Times New Roman" w:cs="Times New Roman"/>
          <w:sz w:val="24"/>
          <w:szCs w:val="24"/>
        </w:rPr>
        <w:t>Прочие неналоговые доходы в сумме 77,4 тыс. руб</w:t>
      </w:r>
      <w:r w:rsidR="001B3159" w:rsidRPr="00BC6C92">
        <w:rPr>
          <w:rFonts w:ascii="Times New Roman" w:hAnsi="Times New Roman" w:cs="Times New Roman"/>
          <w:sz w:val="24"/>
          <w:szCs w:val="24"/>
        </w:rPr>
        <w:t>.</w:t>
      </w:r>
      <w:r w:rsidR="005E6402" w:rsidRPr="00BC6C92">
        <w:rPr>
          <w:rFonts w:ascii="Times New Roman" w:hAnsi="Times New Roman" w:cs="Times New Roman"/>
          <w:sz w:val="24"/>
          <w:szCs w:val="24"/>
        </w:rPr>
        <w:t xml:space="preserve"> составили платежи, принадлежность которых невозможно отнести ни к одному из кодов действующей бюджетной классификации.</w:t>
      </w:r>
    </w:p>
    <w:p w:rsidR="00D61D5A" w:rsidRPr="005E6402" w:rsidRDefault="00D61D5A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</w:p>
    <w:p w:rsidR="00DA49A3" w:rsidRPr="00425BF2" w:rsidRDefault="00F72521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Предоставление льгот по  неналоговым платежам  </w:t>
      </w:r>
    </w:p>
    <w:p w:rsidR="00DA49A3" w:rsidRPr="00425BF2" w:rsidRDefault="00DA49A3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A5ACE" w:rsidRPr="00425BF2" w:rsidRDefault="00F72521" w:rsidP="004A5ACE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Категория арендаторов, имеющих льготы по арендной плате за землю, определена Порядком расчета арендной платы за земельные участки, государственная собственность на которые не разграничена и земельные участки, находящиеся в собственности Волгоградской области, предоставленные в аренду без торгов, утвержденного постановлением администрации Волгоградской обла</w:t>
      </w:r>
      <w:r w:rsidR="007D4F47"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сти от 22.08.2011 № 469-п</w:t>
      </w: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.</w:t>
      </w:r>
    </w:p>
    <w:p w:rsidR="00F72521" w:rsidRPr="00425BF2" w:rsidRDefault="00F72521" w:rsidP="004A5ACE">
      <w:pPr>
        <w:autoSpaceDE w:val="0"/>
        <w:spacing w:after="0" w:line="100" w:lineRule="atLeast"/>
        <w:jc w:val="both"/>
        <w:rPr>
          <w:rFonts w:ascii="Arial" w:eastAsia="Times New Roman" w:hAnsi="Arial" w:cs="Arial"/>
          <w:bCs/>
          <w:i/>
          <w:kern w:val="32"/>
          <w:sz w:val="24"/>
          <w:szCs w:val="24"/>
          <w:lang w:eastAsia="ru-RU"/>
        </w:rPr>
      </w:pP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Значения </w:t>
      </w:r>
      <w:r w:rsidR="006C59E3"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льгот</w:t>
      </w: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утверждены решением Михайловской городской Думы от </w:t>
      </w:r>
      <w:r w:rsidRPr="00D01DD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05.05.2008 г. № 322 «Об</w:t>
      </w: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утверждении значений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области».  Сумма выпадающих доходов в 20</w:t>
      </w:r>
      <w:r w:rsidR="007D4F47"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2</w:t>
      </w:r>
      <w:r w:rsidR="001A046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2</w:t>
      </w:r>
      <w:r w:rsidRPr="00425BF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году </w:t>
      </w:r>
      <w:r w:rsidRPr="00EB51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составила  </w:t>
      </w:r>
      <w:r w:rsidR="002F4CBB" w:rsidRPr="00EB51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8105,6</w:t>
      </w:r>
      <w:r w:rsidRPr="00EB51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тыс. руб.</w:t>
      </w:r>
    </w:p>
    <w:p w:rsidR="00430347" w:rsidRPr="00425BF2" w:rsidRDefault="00430347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>Безвозмездные поступления.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Безвозмездные поступления предусматривались первоначально в размере </w:t>
      </w:r>
      <w:r w:rsidR="001B3159">
        <w:rPr>
          <w:rFonts w:ascii="Times New Roman" w:eastAsia="Calibri" w:hAnsi="Times New Roman" w:cs="Calibri"/>
          <w:sz w:val="24"/>
          <w:szCs w:val="24"/>
          <w:lang w:eastAsia="ar-SA"/>
        </w:rPr>
        <w:t>1385556,4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С учетом поправок, б</w:t>
      </w:r>
      <w:r w:rsidR="00A302D0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езвозмездные поступления на 20</w:t>
      </w:r>
      <w:r w:rsidR="00604FD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1B3159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A302D0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</w:t>
      </w:r>
      <w:r w:rsidR="00E8136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 утверждены в сумме  </w:t>
      </w:r>
      <w:r w:rsidR="001B3159">
        <w:rPr>
          <w:rFonts w:ascii="Times New Roman" w:eastAsia="Calibri" w:hAnsi="Times New Roman" w:cs="Calibri"/>
          <w:sz w:val="24"/>
          <w:szCs w:val="24"/>
          <w:lang w:eastAsia="ar-SA"/>
        </w:rPr>
        <w:t>1621889,0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руб. 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Уточненный план по доходам </w:t>
      </w:r>
      <w:r w:rsidR="00604FD2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выше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утвержденн</w:t>
      </w:r>
      <w:r w:rsidR="004A53A0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ого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объем</w:t>
      </w:r>
      <w:r w:rsidR="004A53A0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доходов по решению по бе</w:t>
      </w:r>
      <w:r w:rsidR="006F4E07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звозмездным </w:t>
      </w:r>
      <w:r w:rsidR="00C95BF2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поступлениям</w:t>
      </w:r>
      <w:r w:rsidR="006F4E07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</w:t>
      </w:r>
      <w:r w:rsidR="001B3159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52258,1 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руб. </w:t>
      </w:r>
      <w:r w:rsidR="00C95BF2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в связи с тем, что и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зменения в сводную роспись внесены без внесения изменений в решение о бюджете</w:t>
      </w:r>
      <w:r w:rsidR="00C95BF2" w:rsidRPr="00642EFD">
        <w:rPr>
          <w:rFonts w:ascii="Times New Roman" w:eastAsia="Calibri" w:hAnsi="Times New Roman" w:cs="Calibri"/>
          <w:sz w:val="24"/>
          <w:szCs w:val="24"/>
          <w:lang w:eastAsia="ar-SA"/>
        </w:rPr>
        <w:t>, что соответствует ст.217 Бюджетного Кодекса Российской Федерации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. Фактиче</w:t>
      </w:r>
      <w:r w:rsidR="00106A12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ское исполнение составило </w:t>
      </w:r>
      <w:r w:rsidR="00066CC7" w:rsidRPr="00642EFD">
        <w:rPr>
          <w:rFonts w:ascii="Times New Roman" w:eastAsia="Calibri" w:hAnsi="Times New Roman" w:cs="Calibri"/>
          <w:sz w:val="24"/>
          <w:szCs w:val="24"/>
          <w:lang w:eastAsia="ar-SA"/>
        </w:rPr>
        <w:t>1564487,0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4B6A5A" w:rsidRPr="00642EFD">
        <w:rPr>
          <w:rFonts w:ascii="Times New Roman" w:eastAsia="Calibri" w:hAnsi="Times New Roman" w:cs="Calibri"/>
          <w:sz w:val="24"/>
          <w:szCs w:val="24"/>
          <w:lang w:eastAsia="ar-SA"/>
        </w:rPr>
        <w:t>. или 9</w:t>
      </w:r>
      <w:r w:rsidR="00CC5BF0" w:rsidRPr="00642EFD">
        <w:rPr>
          <w:rFonts w:ascii="Times New Roman" w:eastAsia="Calibri" w:hAnsi="Times New Roman" w:cs="Calibri"/>
          <w:sz w:val="24"/>
          <w:szCs w:val="24"/>
          <w:lang w:eastAsia="ar-SA"/>
        </w:rPr>
        <w:t>9,7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%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 уточненному плану. </w:t>
      </w:r>
      <w:r w:rsidR="004C1C2A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</w:t>
      </w:r>
      <w:r w:rsidR="00604FD2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202</w:t>
      </w:r>
      <w:r w:rsidR="00CC5BF0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604FD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году безвозмездные поступления получены в виде субвенций, субсидий, дотации на поддержку мер по обеспечению сбалансированности местных бюджетов, в том числе: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- субсидии бюджетам бюджетной системы Российской Федера</w:t>
      </w:r>
      <w:r w:rsidR="00C965C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ции (межбюджетные субсидии </w:t>
      </w:r>
      <w:r w:rsidR="00CC5BF0">
        <w:rPr>
          <w:rFonts w:ascii="Times New Roman" w:eastAsia="Calibri" w:hAnsi="Times New Roman" w:cs="Calibri"/>
          <w:sz w:val="24"/>
          <w:szCs w:val="24"/>
          <w:lang w:eastAsia="ar-SA"/>
        </w:rPr>
        <w:t>725870,9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</w:t>
      </w:r>
      <w:r w:rsidR="000136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что составляет 9</w:t>
      </w:r>
      <w:r w:rsidR="0019152A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="000136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19152A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="000136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% к уточненным плановым показателям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); 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  субвенции бюджетам субъектов РФ и муниципальных образований составили </w:t>
      </w:r>
      <w:r w:rsidR="00CC5BF0">
        <w:rPr>
          <w:rFonts w:ascii="Times New Roman" w:eastAsia="Calibri" w:hAnsi="Times New Roman" w:cs="Calibri"/>
          <w:sz w:val="24"/>
          <w:szCs w:val="24"/>
          <w:lang w:eastAsia="ar-SA"/>
        </w:rPr>
        <w:t>693318,7</w:t>
      </w:r>
      <w:r w:rsidR="00C965CC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что составляет </w:t>
      </w:r>
      <w:r w:rsidR="0083716B" w:rsidRPr="00425BF2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="000136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="0019152A">
        <w:rPr>
          <w:rFonts w:ascii="Times New Roman" w:eastAsia="Calibri" w:hAnsi="Times New Roman" w:cs="Calibri"/>
          <w:sz w:val="24"/>
          <w:szCs w:val="24"/>
          <w:lang w:eastAsia="ar-SA"/>
        </w:rPr>
        <w:t>,5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% к уточненным плановым показателям;</w:t>
      </w:r>
    </w:p>
    <w:p w:rsidR="00013649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иные межбюджетные трансферты </w:t>
      </w:r>
      <w:r w:rsidR="00CC5BF0">
        <w:rPr>
          <w:rFonts w:ascii="Times New Roman" w:eastAsia="Calibri" w:hAnsi="Times New Roman" w:cs="Calibri"/>
          <w:sz w:val="24"/>
          <w:szCs w:val="24"/>
          <w:lang w:eastAsia="ar-SA"/>
        </w:rPr>
        <w:t>49671,2</w:t>
      </w:r>
      <w:r w:rsidR="00DC091F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0136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.,</w:t>
      </w:r>
      <w:r w:rsidR="00CC5BF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136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что составляет 9</w:t>
      </w:r>
      <w:r w:rsidR="0019152A">
        <w:rPr>
          <w:rFonts w:ascii="Times New Roman" w:eastAsia="Calibri" w:hAnsi="Times New Roman" w:cs="Calibri"/>
          <w:sz w:val="24"/>
          <w:szCs w:val="24"/>
          <w:lang w:eastAsia="ar-SA"/>
        </w:rPr>
        <w:t>9,</w:t>
      </w:r>
      <w:r w:rsidR="00013649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8% к уточненным плановым показателям 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-  дотации бюджетам на поддержку мер по обеспечению сб</w:t>
      </w:r>
      <w:r w:rsidR="00D12BFB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алансированности бюджетов  </w:t>
      </w:r>
      <w:r w:rsidR="0019152A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330CC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="0019152A">
        <w:rPr>
          <w:rFonts w:ascii="Times New Roman" w:eastAsia="Calibri" w:hAnsi="Times New Roman" w:cs="Calibri"/>
          <w:sz w:val="24"/>
          <w:szCs w:val="24"/>
          <w:lang w:eastAsia="ar-SA"/>
        </w:rPr>
        <w:t>2451,0</w:t>
      </w:r>
      <w:r w:rsidR="00330CC5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92614F" w:rsidRPr="00425BF2" w:rsidRDefault="000637A4" w:rsidP="00DC091F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F72521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безвозмездные поступления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 негосударственных организаций </w:t>
      </w:r>
      <w:r w:rsidR="00F72521" w:rsidRPr="00425BF2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безвозмездные поступления от не</w:t>
      </w:r>
      <w:r w:rsidR="0092614F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государственных организаций</w:t>
      </w:r>
      <w:r w:rsidR="00DE4DD8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физических лиц</w:t>
      </w:r>
      <w:r w:rsidR="0092614F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</w:t>
      </w:r>
      <w:r w:rsidR="00330CC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="00CC5BF0">
        <w:rPr>
          <w:rFonts w:ascii="Times New Roman" w:eastAsia="Calibri" w:hAnsi="Times New Roman" w:cs="Calibri"/>
          <w:sz w:val="24"/>
          <w:szCs w:val="24"/>
          <w:lang w:eastAsia="ar-SA"/>
        </w:rPr>
        <w:t>51,0</w:t>
      </w:r>
      <w:r w:rsidR="00DC091F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  <w:r w:rsidR="0092614F" w:rsidRPr="00425BF2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-   возврат остатков субсидий, субвенций и иных межбюджетных трансфертов, имеющих цел</w:t>
      </w:r>
      <w:r w:rsidR="00474B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евое назначение, прошлых лет</w:t>
      </w:r>
      <w:r w:rsidR="00CC5BF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2022 году равен </w:t>
      </w:r>
      <w:r w:rsidR="00474B6D" w:rsidRPr="00425BF2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CC5BF0">
        <w:rPr>
          <w:rFonts w:ascii="Times New Roman" w:eastAsia="Calibri" w:hAnsi="Times New Roman" w:cs="Calibri"/>
          <w:sz w:val="24"/>
          <w:szCs w:val="24"/>
          <w:lang w:eastAsia="ar-SA"/>
        </w:rPr>
        <w:t>7475,8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Дефицит бюджета, источники его покрытия, состояние муниципального долга.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Решением Михайловской городской Думы «О б</w:t>
      </w:r>
      <w:r w:rsidR="00833DB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юджете городского округа на 20</w:t>
      </w:r>
      <w:r w:rsidR="008932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716FD1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год» от 2</w:t>
      </w:r>
      <w:r w:rsidR="00716FD1">
        <w:rPr>
          <w:rFonts w:ascii="Times New Roman" w:eastAsia="Calibri" w:hAnsi="Times New Roman" w:cs="Calibri"/>
          <w:sz w:val="24"/>
          <w:szCs w:val="24"/>
          <w:lang w:eastAsia="ar-SA"/>
        </w:rPr>
        <w:t>8.12.2021</w:t>
      </w:r>
      <w:r w:rsidR="004455C2"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№ </w:t>
      </w:r>
      <w:r w:rsidR="00716FD1">
        <w:rPr>
          <w:rFonts w:ascii="Times New Roman" w:eastAsia="Calibri" w:hAnsi="Times New Roman" w:cs="Calibri"/>
          <w:sz w:val="24"/>
          <w:szCs w:val="24"/>
          <w:lang w:eastAsia="ar-SA"/>
        </w:rPr>
        <w:t>482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дефицит бюджета </w:t>
      </w:r>
      <w:r w:rsidR="00833DBE" w:rsidRPr="00425BF2">
        <w:rPr>
          <w:rFonts w:ascii="Times New Roman" w:eastAsia="Calibri" w:hAnsi="Times New Roman" w:cs="Calibri"/>
          <w:sz w:val="24"/>
          <w:szCs w:val="24"/>
          <w:lang w:eastAsia="ar-SA"/>
        </w:rPr>
        <w:t>не планировался.  В течение 20</w:t>
      </w:r>
      <w:r w:rsidR="008932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716FD1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дефицит бюджета городского округа изменялся  в сторону увеличения до  </w:t>
      </w:r>
      <w:r w:rsidR="008932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13</w:t>
      </w:r>
      <w:r w:rsidR="00716FD1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="00893275" w:rsidRPr="00425BF2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="00716FD1">
        <w:rPr>
          <w:rFonts w:ascii="Times New Roman" w:eastAsia="Calibri" w:hAnsi="Times New Roman" w:cs="Calibri"/>
          <w:sz w:val="24"/>
          <w:szCs w:val="24"/>
          <w:lang w:eastAsia="ar-SA"/>
        </w:rPr>
        <w:t>57,1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</w:t>
      </w:r>
      <w:r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Фактически при исполнении бюджета сложился </w:t>
      </w:r>
      <w:r w:rsidR="00716FD1" w:rsidRPr="00A72A4A">
        <w:rPr>
          <w:rFonts w:ascii="Times New Roman" w:eastAsia="Calibri" w:hAnsi="Times New Roman" w:cs="Calibri"/>
          <w:sz w:val="24"/>
          <w:szCs w:val="24"/>
          <w:lang w:eastAsia="ar-SA"/>
        </w:rPr>
        <w:t>де</w:t>
      </w:r>
      <w:r w:rsidR="00893275" w:rsidRPr="00A72A4A">
        <w:rPr>
          <w:rFonts w:ascii="Times New Roman" w:eastAsia="Calibri" w:hAnsi="Times New Roman" w:cs="Calibri"/>
          <w:sz w:val="24"/>
          <w:szCs w:val="24"/>
          <w:lang w:eastAsia="ar-SA"/>
        </w:rPr>
        <w:t>фицит</w:t>
      </w:r>
      <w:r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сумме </w:t>
      </w:r>
      <w:r w:rsidR="00716FD1" w:rsidRPr="00A72A4A">
        <w:rPr>
          <w:rFonts w:ascii="Times New Roman" w:eastAsia="Calibri" w:hAnsi="Times New Roman" w:cs="Calibri"/>
          <w:sz w:val="24"/>
          <w:szCs w:val="24"/>
          <w:lang w:eastAsia="ar-SA"/>
        </w:rPr>
        <w:t>5166,2</w:t>
      </w:r>
      <w:r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</w:t>
      </w:r>
      <w:r w:rsidR="00371290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Источники внешнего финансирования дефицита бюджета явились  остатки средств на счетах бюджета городского округа </w:t>
      </w:r>
      <w:r w:rsidR="00A72A4A" w:rsidRPr="00C05A42">
        <w:rPr>
          <w:rFonts w:ascii="Times New Roman" w:eastAsia="Calibri" w:hAnsi="Times New Roman" w:cs="Calibri"/>
          <w:sz w:val="24"/>
          <w:szCs w:val="24"/>
          <w:lang w:eastAsia="ar-SA"/>
        </w:rPr>
        <w:t>в сумме</w:t>
      </w:r>
      <w:r w:rsidR="00C05A42" w:rsidRPr="00C05A4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8366,2</w:t>
      </w:r>
      <w:r w:rsidR="00A72A4A" w:rsidRPr="00C05A4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тыс.руб.</w:t>
      </w:r>
      <w:r w:rsidR="00E54DCA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Источники внутреннего </w:t>
      </w:r>
      <w:r w:rsidR="008E16CE" w:rsidRPr="00A72A4A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финансирования дефицита бюджета</w:t>
      </w:r>
      <w:r w:rsidR="00375FAD" w:rsidRPr="00A72A4A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16FD1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375FAD" w:rsidRPr="00A72A4A">
        <w:rPr>
          <w:rFonts w:ascii="Times New Roman" w:eastAsia="Calibri" w:hAnsi="Times New Roman" w:cs="Calibri"/>
          <w:sz w:val="24"/>
          <w:szCs w:val="24"/>
          <w:lang w:eastAsia="ar-SA"/>
        </w:rPr>
        <w:t>направленные на погашение кредита.</w:t>
      </w:r>
      <w:r w:rsidR="00716FD1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375FAD" w:rsidRPr="00A72A4A">
        <w:rPr>
          <w:rFonts w:ascii="Times New Roman" w:eastAsia="Calibri" w:hAnsi="Times New Roman" w:cs="Calibri"/>
          <w:sz w:val="24"/>
          <w:szCs w:val="24"/>
          <w:lang w:eastAsia="ar-SA"/>
        </w:rPr>
        <w:t>В 20</w:t>
      </w:r>
      <w:r w:rsidR="006A4206" w:rsidRPr="00A72A4A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716FD1" w:rsidRPr="00A72A4A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375FAD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</w:t>
      </w:r>
      <w:r w:rsidR="00B173E3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эта сумма составила </w:t>
      </w:r>
      <w:r w:rsidR="00371290" w:rsidRPr="00A72A4A">
        <w:rPr>
          <w:rFonts w:ascii="Times New Roman" w:eastAsia="Calibri" w:hAnsi="Times New Roman" w:cs="Calibri"/>
          <w:sz w:val="24"/>
          <w:szCs w:val="24"/>
          <w:lang w:eastAsia="ar-SA"/>
        </w:rPr>
        <w:t>3200,0</w:t>
      </w:r>
      <w:r w:rsidR="006A4206" w:rsidRPr="00A72A4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375FAD" w:rsidRPr="00A72A4A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125926" w:rsidRPr="00425BF2" w:rsidRDefault="00125926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tbl>
      <w:tblPr>
        <w:tblW w:w="5000" w:type="pct"/>
        <w:tblLayout w:type="fixed"/>
        <w:tblLook w:val="0000"/>
      </w:tblPr>
      <w:tblGrid>
        <w:gridCol w:w="959"/>
        <w:gridCol w:w="1369"/>
        <w:gridCol w:w="1133"/>
        <w:gridCol w:w="1325"/>
        <w:gridCol w:w="1133"/>
        <w:gridCol w:w="1181"/>
        <w:gridCol w:w="1137"/>
        <w:gridCol w:w="1334"/>
      </w:tblGrid>
      <w:tr w:rsidR="00A03FF3" w:rsidRPr="00425BF2" w:rsidTr="00716FD1">
        <w:trPr>
          <w:cantSplit/>
          <w:trHeight w:hRule="exact" w:val="540"/>
        </w:trPr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425BF2" w:rsidRDefault="006A4206" w:rsidP="00716FD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Утверждено на 202</w:t>
            </w:r>
            <w:r w:rsidR="00716F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Фактическое исполнение</w:t>
            </w:r>
          </w:p>
        </w:tc>
        <w:tc>
          <w:tcPr>
            <w:tcW w:w="1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Отклонение к первоначальным плановым показателям</w:t>
            </w:r>
          </w:p>
        </w:tc>
        <w:tc>
          <w:tcPr>
            <w:tcW w:w="12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Отклонение к уточненным плановым показателям</w:t>
            </w:r>
          </w:p>
        </w:tc>
      </w:tr>
      <w:tr w:rsidR="00A03FF3" w:rsidRPr="00425BF2" w:rsidTr="00716FD1">
        <w:trPr>
          <w:cantSplit/>
          <w:trHeight w:hRule="exact" w:val="160"/>
        </w:trPr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Первоначальные плановые показатели</w:t>
            </w:r>
          </w:p>
        </w:tc>
        <w:tc>
          <w:tcPr>
            <w:tcW w:w="59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Уточненные плановые показатели</w:t>
            </w: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03FF3" w:rsidRPr="00425BF2" w:rsidTr="00716FD1">
        <w:trPr>
          <w:cantSplit/>
        </w:trPr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425BF2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Абсолютное 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Относительное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Абсолютное </w:t>
            </w: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Относительное</w:t>
            </w:r>
          </w:p>
        </w:tc>
      </w:tr>
      <w:tr w:rsidR="00A03FF3" w:rsidRPr="00425BF2" w:rsidTr="00716FD1">
        <w:trPr>
          <w:trHeight w:val="25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Дефицит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DE4DD8" w:rsidP="00716FD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5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716F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136657,1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716FD1" w:rsidP="00F224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-5166,2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716FD1" w:rsidP="00716FD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-5166,2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425BF2" w:rsidRDefault="00716FD1" w:rsidP="00B10D4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-131490,9</w:t>
            </w: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425BF2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Кредиты юридическим лицам из бюджета городского округа город Михайловка не выдавались, муниципальные гарантии не представлялись.</w:t>
      </w:r>
    </w:p>
    <w:p w:rsidR="00F72521" w:rsidRPr="00425BF2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642EFD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42EFD">
        <w:rPr>
          <w:rFonts w:ascii="Times New Roman" w:eastAsia="Calibri" w:hAnsi="Times New Roman" w:cs="Calibri"/>
          <w:b/>
          <w:sz w:val="24"/>
          <w:szCs w:val="24"/>
          <w:lang w:eastAsia="ar-SA"/>
        </w:rPr>
        <w:t>Состояние дебиторской и кредиторской задолженности.</w:t>
      </w:r>
    </w:p>
    <w:p w:rsidR="00F72521" w:rsidRPr="00642EFD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tbl>
      <w:tblPr>
        <w:tblStyle w:val="afa"/>
        <w:tblW w:w="5000" w:type="pct"/>
        <w:tblLook w:val="04A0"/>
      </w:tblPr>
      <w:tblGrid>
        <w:gridCol w:w="2822"/>
        <w:gridCol w:w="1688"/>
        <w:gridCol w:w="1690"/>
        <w:gridCol w:w="1688"/>
        <w:gridCol w:w="1683"/>
      </w:tblGrid>
      <w:tr w:rsidR="00A03FF3" w:rsidRPr="00642EFD" w:rsidTr="00195929">
        <w:trPr>
          <w:trHeight w:val="74"/>
        </w:trPr>
        <w:tc>
          <w:tcPr>
            <w:tcW w:w="1474" w:type="pct"/>
          </w:tcPr>
          <w:p w:rsidR="00F72521" w:rsidRPr="00642EFD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5" w:type="pct"/>
            <w:gridSpan w:val="2"/>
          </w:tcPr>
          <w:p w:rsidR="00F72521" w:rsidRPr="00642EFD" w:rsidRDefault="00D9095F" w:rsidP="00195929">
            <w:pPr>
              <w:autoSpaceDE w:val="0"/>
              <w:spacing w:line="100" w:lineRule="atLeast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642EFD">
              <w:rPr>
                <w:rFonts w:eastAsia="Calibri" w:cs="Calibri"/>
                <w:sz w:val="24"/>
                <w:szCs w:val="24"/>
                <w:lang w:eastAsia="ar-SA"/>
              </w:rPr>
              <w:t>На 01.01.202</w:t>
            </w:r>
            <w:r w:rsidR="00A72A4A" w:rsidRPr="00642EFD">
              <w:rPr>
                <w:rFonts w:eastAsia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61" w:type="pct"/>
            <w:gridSpan w:val="2"/>
          </w:tcPr>
          <w:p w:rsidR="00F72521" w:rsidRPr="00642EFD" w:rsidRDefault="00D9095F" w:rsidP="00A72A4A">
            <w:pPr>
              <w:autoSpaceDE w:val="0"/>
              <w:spacing w:line="100" w:lineRule="atLeast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642EFD">
              <w:rPr>
                <w:rFonts w:eastAsia="Calibri" w:cs="Calibri"/>
                <w:sz w:val="24"/>
                <w:szCs w:val="24"/>
                <w:lang w:eastAsia="ar-SA"/>
              </w:rPr>
              <w:t>На 01.01.202</w:t>
            </w:r>
            <w:r w:rsidR="00A72A4A" w:rsidRPr="00642EFD">
              <w:rPr>
                <w:rFonts w:eastAsia="Calibri" w:cs="Calibri"/>
                <w:sz w:val="24"/>
                <w:szCs w:val="24"/>
                <w:lang w:eastAsia="ar-SA"/>
              </w:rPr>
              <w:t>3</w:t>
            </w:r>
          </w:p>
        </w:tc>
      </w:tr>
      <w:tr w:rsidR="000B4424" w:rsidRPr="00642EFD" w:rsidTr="00195929">
        <w:tc>
          <w:tcPr>
            <w:tcW w:w="1474" w:type="pct"/>
          </w:tcPr>
          <w:p w:rsidR="00F72521" w:rsidRPr="00642EFD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</w:tcPr>
          <w:p w:rsidR="00F72521" w:rsidRPr="00642EFD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всего</w:t>
            </w:r>
          </w:p>
        </w:tc>
        <w:tc>
          <w:tcPr>
            <w:tcW w:w="883" w:type="pct"/>
          </w:tcPr>
          <w:p w:rsidR="00F72521" w:rsidRPr="00642EFD" w:rsidRDefault="00F72521" w:rsidP="002A6CC6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В том числе просроченная задолженность</w:t>
            </w:r>
          </w:p>
        </w:tc>
        <w:tc>
          <w:tcPr>
            <w:tcW w:w="882" w:type="pct"/>
          </w:tcPr>
          <w:p w:rsidR="00F72521" w:rsidRPr="00642EFD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всего</w:t>
            </w:r>
          </w:p>
        </w:tc>
        <w:tc>
          <w:tcPr>
            <w:tcW w:w="879" w:type="pct"/>
          </w:tcPr>
          <w:p w:rsidR="00F72521" w:rsidRPr="00642EFD" w:rsidRDefault="00F72521" w:rsidP="002A6CC6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В том числе просроченная задолженность</w:t>
            </w:r>
          </w:p>
        </w:tc>
      </w:tr>
      <w:tr w:rsidR="00371290" w:rsidRPr="00642EFD" w:rsidTr="00195929">
        <w:tc>
          <w:tcPr>
            <w:tcW w:w="1474" w:type="pct"/>
          </w:tcPr>
          <w:p w:rsidR="00371290" w:rsidRPr="00642EFD" w:rsidRDefault="00371290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 xml:space="preserve">Дебиторская задолженность </w:t>
            </w:r>
          </w:p>
        </w:tc>
        <w:tc>
          <w:tcPr>
            <w:tcW w:w="882" w:type="pct"/>
          </w:tcPr>
          <w:p w:rsidR="00371290" w:rsidRPr="00642EFD" w:rsidRDefault="00371290" w:rsidP="00D01DD5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2927839,3</w:t>
            </w:r>
          </w:p>
        </w:tc>
        <w:tc>
          <w:tcPr>
            <w:tcW w:w="883" w:type="pct"/>
          </w:tcPr>
          <w:p w:rsidR="00371290" w:rsidRPr="00642EFD" w:rsidRDefault="00371290" w:rsidP="00D01DD5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109146,8</w:t>
            </w:r>
          </w:p>
        </w:tc>
        <w:tc>
          <w:tcPr>
            <w:tcW w:w="882" w:type="pct"/>
          </w:tcPr>
          <w:p w:rsidR="00371290" w:rsidRPr="00642EFD" w:rsidRDefault="00642EFD" w:rsidP="00AF54F3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3015783,2</w:t>
            </w:r>
          </w:p>
        </w:tc>
        <w:tc>
          <w:tcPr>
            <w:tcW w:w="879" w:type="pct"/>
          </w:tcPr>
          <w:p w:rsidR="00371290" w:rsidRPr="00642EFD" w:rsidRDefault="00642EFD" w:rsidP="00AF54F3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86333,9</w:t>
            </w:r>
          </w:p>
        </w:tc>
      </w:tr>
      <w:tr w:rsidR="00371290" w:rsidRPr="00642EFD" w:rsidTr="00195929">
        <w:tc>
          <w:tcPr>
            <w:tcW w:w="1474" w:type="pct"/>
          </w:tcPr>
          <w:p w:rsidR="00371290" w:rsidRPr="00642EFD" w:rsidRDefault="00371290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Кредиторская задолженность</w:t>
            </w:r>
          </w:p>
        </w:tc>
        <w:tc>
          <w:tcPr>
            <w:tcW w:w="882" w:type="pct"/>
          </w:tcPr>
          <w:p w:rsidR="00371290" w:rsidRPr="00642EFD" w:rsidRDefault="00356D76" w:rsidP="00D01DD5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119879,9</w:t>
            </w:r>
          </w:p>
        </w:tc>
        <w:tc>
          <w:tcPr>
            <w:tcW w:w="883" w:type="pct"/>
          </w:tcPr>
          <w:p w:rsidR="00371290" w:rsidRPr="00642EFD" w:rsidRDefault="00371290" w:rsidP="00D01DD5">
            <w:pPr>
              <w:autoSpaceDE w:val="0"/>
              <w:spacing w:line="100" w:lineRule="atLeast"/>
              <w:rPr>
                <w:rFonts w:eastAsia="Calibri" w:cs="Calibri"/>
                <w:lang w:eastAsia="ar-SA"/>
              </w:rPr>
            </w:pPr>
            <w:r w:rsidRPr="00642EFD">
              <w:rPr>
                <w:rFonts w:eastAsia="Calibri" w:cs="Calibri"/>
                <w:lang w:eastAsia="ar-SA"/>
              </w:rPr>
              <w:t>36709,0</w:t>
            </w:r>
          </w:p>
        </w:tc>
        <w:tc>
          <w:tcPr>
            <w:tcW w:w="882" w:type="pct"/>
          </w:tcPr>
          <w:p w:rsidR="00371290" w:rsidRPr="00642EFD" w:rsidRDefault="00356D76" w:rsidP="00AF54F3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136051,0</w:t>
            </w:r>
          </w:p>
        </w:tc>
        <w:tc>
          <w:tcPr>
            <w:tcW w:w="879" w:type="pct"/>
          </w:tcPr>
          <w:p w:rsidR="00371290" w:rsidRPr="00642EFD" w:rsidRDefault="00356D76" w:rsidP="006F5122">
            <w:pPr>
              <w:autoSpaceDE w:val="0"/>
              <w:spacing w:line="100" w:lineRule="atLeas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50108,1</w:t>
            </w:r>
          </w:p>
        </w:tc>
      </w:tr>
    </w:tbl>
    <w:p w:rsidR="0016228E" w:rsidRPr="00642EFD" w:rsidRDefault="0016228E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A74B7" w:rsidRPr="00642EFD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Дебиторская задолженность бюдж</w:t>
      </w:r>
      <w:r w:rsidR="00BA74B7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ета города </w:t>
      </w:r>
      <w:r w:rsidR="0012144F" w:rsidRPr="00642EFD">
        <w:rPr>
          <w:rFonts w:ascii="Times New Roman" w:eastAsia="Calibri" w:hAnsi="Times New Roman" w:cs="Calibri"/>
          <w:sz w:val="24"/>
          <w:szCs w:val="24"/>
          <w:lang w:eastAsia="ar-SA"/>
        </w:rPr>
        <w:t>по состоянию на 01.01.202</w:t>
      </w:r>
      <w:r w:rsidR="00A72A4A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 </w:t>
      </w:r>
      <w:r w:rsidR="00BA74B7" w:rsidRPr="00642EFD">
        <w:rPr>
          <w:rFonts w:ascii="Times New Roman" w:eastAsia="Calibri" w:hAnsi="Times New Roman" w:cs="Calibri"/>
          <w:sz w:val="24"/>
          <w:szCs w:val="24"/>
          <w:lang w:eastAsia="ar-SA"/>
        </w:rPr>
        <w:t>составляет</w:t>
      </w:r>
      <w:r w:rsidR="00371290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9A4F27">
        <w:rPr>
          <w:rFonts w:ascii="Times New Roman" w:eastAsia="Calibri" w:hAnsi="Times New Roman" w:cs="Calibri"/>
          <w:sz w:val="24"/>
          <w:szCs w:val="24"/>
          <w:lang w:eastAsia="ar-SA"/>
        </w:rPr>
        <w:t>3015783,2</w:t>
      </w:r>
      <w:r w:rsidR="006F5122" w:rsidRPr="00642EF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642EFD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  <w:r w:rsidR="00BA74B7" w:rsidRPr="00642EFD">
        <w:rPr>
          <w:rFonts w:ascii="Times New Roman" w:eastAsia="Calibri" w:hAnsi="Times New Roman" w:cs="Calibri"/>
          <w:sz w:val="24"/>
          <w:szCs w:val="24"/>
          <w:lang w:eastAsia="ar-SA"/>
        </w:rPr>
        <w:t>, из них:</w:t>
      </w:r>
      <w:r w:rsidR="009A4F2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(в сравнении с прошлым периодом)</w:t>
      </w:r>
    </w:p>
    <w:p w:rsidR="00255D8C" w:rsidRPr="00EB5141" w:rsidRDefault="00BA74B7" w:rsidP="00C81826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 </w:t>
      </w:r>
      <w:r w:rsidRPr="00EB514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З</w:t>
      </w:r>
      <w:r w:rsidR="00F72521" w:rsidRPr="00EB514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адолженность </w:t>
      </w:r>
      <w:r w:rsidRPr="00EB514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по доходам </w:t>
      </w:r>
      <w:r w:rsidR="002666AA" w:rsidRPr="00EB5141">
        <w:rPr>
          <w:rFonts w:ascii="Times New Roman" w:eastAsia="Calibri" w:hAnsi="Times New Roman" w:cs="Calibri"/>
          <w:sz w:val="24"/>
          <w:szCs w:val="24"/>
          <w:lang w:eastAsia="ar-SA"/>
        </w:rPr>
        <w:t>составляет</w:t>
      </w:r>
      <w:r w:rsidR="003B7893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9A4F27" w:rsidRPr="00EB5141">
        <w:rPr>
          <w:rFonts w:ascii="Times New Roman" w:eastAsia="Calibri" w:hAnsi="Times New Roman" w:cs="Calibri"/>
          <w:sz w:val="24"/>
          <w:szCs w:val="24"/>
          <w:lang w:eastAsia="ar-SA"/>
        </w:rPr>
        <w:t>2970979,2</w:t>
      </w:r>
      <w:r w:rsidR="00F72521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="00B75B9F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C81826" w:rsidRPr="00EB5141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212306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 них </w:t>
      </w:r>
      <w:r w:rsidR="00B75B9F" w:rsidRPr="00EB5141">
        <w:rPr>
          <w:rFonts w:ascii="Times New Roman" w:eastAsia="Calibri" w:hAnsi="Times New Roman" w:cs="Calibri"/>
          <w:sz w:val="24"/>
          <w:szCs w:val="24"/>
          <w:lang w:eastAsia="ar-SA"/>
        </w:rPr>
        <w:t>долгосрочн</w:t>
      </w:r>
      <w:r w:rsidR="008A3D88" w:rsidRPr="00EB5141">
        <w:rPr>
          <w:rFonts w:ascii="Times New Roman" w:eastAsia="Calibri" w:hAnsi="Times New Roman" w:cs="Calibri"/>
          <w:sz w:val="24"/>
          <w:szCs w:val="24"/>
          <w:lang w:eastAsia="ar-SA"/>
        </w:rPr>
        <w:t>ая</w:t>
      </w:r>
      <w:r w:rsidR="003B7893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2144F" w:rsidRPr="00EB5141">
        <w:rPr>
          <w:rFonts w:ascii="Times New Roman" w:eastAsia="Calibri" w:hAnsi="Times New Roman" w:cs="Calibri"/>
          <w:sz w:val="24"/>
          <w:szCs w:val="24"/>
          <w:lang w:eastAsia="ar-SA"/>
        </w:rPr>
        <w:t>задолженность</w:t>
      </w:r>
      <w:r w:rsidR="00FE7F2B" w:rsidRPr="00EB5141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6F5122" w:rsidRPr="00EB5141">
        <w:rPr>
          <w:rFonts w:ascii="Times New Roman" w:eastAsia="Calibri" w:hAnsi="Times New Roman" w:cs="Calibri"/>
          <w:sz w:val="24"/>
          <w:szCs w:val="24"/>
          <w:lang w:eastAsia="ar-SA"/>
        </w:rPr>
        <w:t>21</w:t>
      </w:r>
      <w:r w:rsidR="003B7893" w:rsidRPr="00EB5141">
        <w:rPr>
          <w:rFonts w:ascii="Times New Roman" w:eastAsia="Calibri" w:hAnsi="Times New Roman" w:cs="Calibri"/>
          <w:sz w:val="24"/>
          <w:szCs w:val="24"/>
          <w:lang w:eastAsia="ar-SA"/>
        </w:rPr>
        <w:t>74597,0</w:t>
      </w:r>
      <w:r w:rsidR="002666AA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="00C81826" w:rsidRPr="00EB5141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="0012144F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="00EF1148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</w:t>
      </w:r>
      <w:r w:rsidR="009A4F27" w:rsidRPr="00EB5141">
        <w:rPr>
          <w:rFonts w:ascii="Times New Roman" w:eastAsia="Calibri" w:hAnsi="Times New Roman" w:cs="Calibri"/>
          <w:sz w:val="24"/>
          <w:szCs w:val="24"/>
          <w:lang w:eastAsia="ar-SA"/>
        </w:rPr>
        <w:t>из них</w:t>
      </w:r>
      <w:r w:rsidR="00EF1148" w:rsidRPr="00EB5141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BA74B7" w:rsidRPr="00EB5141" w:rsidRDefault="00BA74B7" w:rsidP="007363F5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C81826" w:rsidRPr="00EB5141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r w:rsidR="00D97C9C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асчеты с плательщиками налогов </w:t>
      </w:r>
      <w:r w:rsidR="009A4F27" w:rsidRPr="00EB5141">
        <w:rPr>
          <w:rFonts w:ascii="Times New Roman" w:eastAsia="Calibri" w:hAnsi="Times New Roman" w:cs="Calibri"/>
          <w:sz w:val="24"/>
          <w:szCs w:val="24"/>
          <w:lang w:eastAsia="ar-SA"/>
        </w:rPr>
        <w:t>18647,7</w:t>
      </w:r>
      <w:r w:rsidR="00D97C9C" w:rsidRPr="00EB51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</w:t>
      </w:r>
      <w:r w:rsidR="009A4F27" w:rsidRPr="00EB5141">
        <w:rPr>
          <w:rFonts w:ascii="Times New Roman" w:eastAsia="Calibri" w:hAnsi="Times New Roman" w:cs="Calibri"/>
          <w:sz w:val="24"/>
          <w:szCs w:val="24"/>
          <w:lang w:eastAsia="ar-SA"/>
        </w:rPr>
        <w:t>(- 2890,2 тыс. руб.)</w:t>
      </w:r>
    </w:p>
    <w:p w:rsidR="00BA74B7" w:rsidRPr="00EB5141" w:rsidRDefault="007363F5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D97C9C" w:rsidRPr="00EB5141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асчеты с плательщиками доходов от собственности </w:t>
      </w:r>
      <w:r w:rsidR="009A4F27" w:rsidRPr="00EB5141">
        <w:rPr>
          <w:rFonts w:ascii="Times New Roman" w:hAnsi="Times New Roman" w:cs="Calibri"/>
          <w:sz w:val="24"/>
          <w:szCs w:val="24"/>
          <w:lang w:eastAsia="ar-SA"/>
        </w:rPr>
        <w:t>2282247,1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2666AA" w:rsidRPr="00EB5141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9A4F27" w:rsidRPr="00EB5141">
        <w:rPr>
          <w:rFonts w:ascii="Times New Roman" w:hAnsi="Times New Roman" w:cs="Calibri"/>
          <w:sz w:val="24"/>
          <w:szCs w:val="24"/>
          <w:lang w:eastAsia="ar-SA"/>
        </w:rPr>
        <w:t>-232971,2</w:t>
      </w:r>
      <w:r w:rsidR="00E2371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805F54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аренда земли и имущ</w:t>
      </w:r>
      <w:r w:rsidR="00BA74B7" w:rsidRPr="00EB5141">
        <w:rPr>
          <w:rFonts w:ascii="Times New Roman" w:hAnsi="Times New Roman" w:cs="Calibri"/>
          <w:sz w:val="24"/>
          <w:szCs w:val="24"/>
          <w:lang w:eastAsia="ar-SA"/>
        </w:rPr>
        <w:t>ества</w:t>
      </w:r>
      <w:r w:rsidR="00E23711" w:rsidRPr="00EB5141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C81826" w:rsidRPr="00EB5141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6E5D1F" w:rsidRPr="00EB5141">
        <w:rPr>
          <w:rFonts w:ascii="Times New Roman" w:hAnsi="Times New Roman" w:cs="Calibri"/>
          <w:sz w:val="24"/>
          <w:szCs w:val="24"/>
          <w:lang w:eastAsia="ar-SA"/>
        </w:rPr>
        <w:t>расчеты по поступлениям от других бюджетов бюджетной системы</w:t>
      </w:r>
      <w:r w:rsidR="009A4F27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467086,0</w:t>
      </w:r>
      <w:r w:rsidR="006E5D1F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 (+</w:t>
      </w:r>
      <w:r w:rsidR="009A4F27" w:rsidRPr="00EB5141">
        <w:rPr>
          <w:rFonts w:ascii="Times New Roman" w:hAnsi="Times New Roman" w:cs="Calibri"/>
          <w:sz w:val="24"/>
          <w:szCs w:val="24"/>
          <w:lang w:eastAsia="ar-SA"/>
        </w:rPr>
        <w:t>283096,9</w:t>
      </w:r>
      <w:r w:rsidR="006E5D1F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руб.), </w:t>
      </w:r>
    </w:p>
    <w:p w:rsidR="00BA74B7" w:rsidRPr="00EB5141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6E5D1F" w:rsidRPr="00EB5141">
        <w:rPr>
          <w:rFonts w:ascii="Times New Roman" w:hAnsi="Times New Roman" w:cs="Calibri"/>
          <w:sz w:val="24"/>
          <w:szCs w:val="24"/>
          <w:lang w:eastAsia="ar-SA"/>
        </w:rPr>
        <w:t xml:space="preserve">расчеты по поступлениям капитального характера от других бюджетов бюджетной системы </w:t>
      </w:r>
      <w:r w:rsidR="00C77732" w:rsidRPr="00EB5141">
        <w:rPr>
          <w:rFonts w:ascii="Times New Roman" w:hAnsi="Times New Roman" w:cs="Calibri"/>
          <w:sz w:val="24"/>
          <w:szCs w:val="24"/>
          <w:lang w:eastAsia="ar-SA"/>
        </w:rPr>
        <w:t>195880,0</w:t>
      </w:r>
      <w:r w:rsidR="00B852E4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 (</w:t>
      </w:r>
      <w:r w:rsidR="00C77732" w:rsidRPr="00EB5141">
        <w:rPr>
          <w:rFonts w:ascii="Times New Roman" w:hAnsi="Times New Roman" w:cs="Calibri"/>
          <w:sz w:val="24"/>
          <w:szCs w:val="24"/>
          <w:lang w:eastAsia="ar-SA"/>
        </w:rPr>
        <w:t>+76977,6</w:t>
      </w:r>
      <w:r w:rsidR="00B852E4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6E5D1F" w:rsidRPr="00EB5141">
        <w:rPr>
          <w:rFonts w:ascii="Times New Roman" w:hAnsi="Times New Roman" w:cs="Calibri"/>
          <w:sz w:val="24"/>
          <w:szCs w:val="24"/>
          <w:lang w:eastAsia="ar-SA"/>
        </w:rPr>
        <w:t xml:space="preserve">тыс. руб.) </w:t>
      </w:r>
      <w:r w:rsidR="00DA0EBF" w:rsidRPr="00EB5141">
        <w:rPr>
          <w:rFonts w:ascii="Times New Roman" w:hAnsi="Times New Roman" w:cs="Calibri"/>
          <w:sz w:val="24"/>
          <w:szCs w:val="24"/>
          <w:lang w:eastAsia="ar-SA"/>
        </w:rPr>
        <w:t>и пр.;</w:t>
      </w:r>
    </w:p>
    <w:p w:rsidR="00EB5141" w:rsidRDefault="00BA74B7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2. </w:t>
      </w:r>
      <w:r w:rsidRPr="00EB5141">
        <w:rPr>
          <w:rFonts w:ascii="Times New Roman" w:hAnsi="Times New Roman" w:cs="Calibri"/>
          <w:sz w:val="24"/>
          <w:szCs w:val="24"/>
          <w:u w:val="single"/>
          <w:lang w:eastAsia="ar-SA"/>
        </w:rPr>
        <w:t>З</w:t>
      </w:r>
      <w:r w:rsidR="004A3A66" w:rsidRPr="00EB5141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адолженности по </w:t>
      </w:r>
      <w:r w:rsidR="00313348">
        <w:rPr>
          <w:rFonts w:ascii="Times New Roman" w:hAnsi="Times New Roman" w:cs="Calibri"/>
          <w:sz w:val="24"/>
          <w:szCs w:val="24"/>
          <w:u w:val="single"/>
          <w:lang w:eastAsia="ar-SA"/>
        </w:rPr>
        <w:t>выданным авансам</w:t>
      </w:r>
      <w:r w:rsidR="00C459DE" w:rsidRPr="00EB5141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="00C81826" w:rsidRPr="00EB5141">
        <w:rPr>
          <w:rFonts w:ascii="Times New Roman" w:hAnsi="Times New Roman" w:cs="Calibri"/>
          <w:sz w:val="24"/>
          <w:szCs w:val="24"/>
          <w:lang w:eastAsia="ar-SA"/>
        </w:rPr>
        <w:t xml:space="preserve">составляет </w:t>
      </w:r>
      <w:r w:rsidR="00313348">
        <w:rPr>
          <w:rFonts w:ascii="Times New Roman" w:hAnsi="Times New Roman" w:cs="Calibri"/>
          <w:sz w:val="24"/>
          <w:szCs w:val="24"/>
          <w:lang w:eastAsia="ar-SA"/>
        </w:rPr>
        <w:t>23877,7т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>ыс. руб.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(+</w:t>
      </w:r>
      <w:r w:rsidR="00313348">
        <w:rPr>
          <w:rFonts w:ascii="Times New Roman" w:hAnsi="Times New Roman" w:cs="Calibri"/>
          <w:sz w:val="24"/>
          <w:szCs w:val="24"/>
          <w:lang w:eastAsia="ar-SA"/>
        </w:rPr>
        <w:t>3423,7</w:t>
      </w:r>
      <w:r w:rsidR="00EB5141">
        <w:rPr>
          <w:rFonts w:ascii="Times New Roman" w:hAnsi="Times New Roman" w:cs="Calibri"/>
          <w:sz w:val="24"/>
          <w:szCs w:val="24"/>
          <w:lang w:eastAsia="ar-SA"/>
        </w:rPr>
        <w:t>тыс.руб.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>)</w:t>
      </w:r>
    </w:p>
    <w:p w:rsidR="00C81826" w:rsidRPr="00EB5141" w:rsidRDefault="00E50FE8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3C4FC7" w:rsidRPr="00EB5141">
        <w:rPr>
          <w:rFonts w:ascii="Times New Roman" w:hAnsi="Times New Roman" w:cs="Calibri"/>
          <w:sz w:val="24"/>
          <w:szCs w:val="24"/>
          <w:lang w:eastAsia="ar-SA"/>
        </w:rPr>
        <w:t>из них</w:t>
      </w:r>
      <w:r w:rsidR="00BC207D" w:rsidRPr="00EB5141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C81826" w:rsidRPr="00EB5141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-  </w:t>
      </w:r>
      <w:r w:rsidR="008A3D88" w:rsidRPr="00EB5141">
        <w:rPr>
          <w:rFonts w:ascii="Times New Roman" w:hAnsi="Times New Roman" w:cs="Calibri"/>
          <w:sz w:val="24"/>
          <w:szCs w:val="24"/>
          <w:lang w:eastAsia="ar-SA"/>
        </w:rPr>
        <w:t xml:space="preserve">расчеты по 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услугам  для целей кап. вложений – 15236,0т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>ыс. руб.</w:t>
      </w:r>
      <w:r w:rsidR="008A3D88" w:rsidRPr="00EB5141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>аванс за тех</w:t>
      </w:r>
      <w:r w:rsidR="00EB5141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присоединение к эл</w:t>
      </w:r>
      <w:r w:rsidR="00EB5141">
        <w:rPr>
          <w:rFonts w:ascii="Times New Roman" w:hAnsi="Times New Roman" w:cs="Calibri"/>
          <w:sz w:val="24"/>
          <w:szCs w:val="24"/>
          <w:lang w:eastAsia="ar-SA"/>
        </w:rPr>
        <w:t xml:space="preserve">ект. 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>сетям и сетям газораспределени</w:t>
      </w:r>
      <w:r w:rsidR="00EB5141">
        <w:rPr>
          <w:rFonts w:ascii="Times New Roman" w:hAnsi="Times New Roman" w:cs="Calibri"/>
          <w:sz w:val="24"/>
          <w:szCs w:val="24"/>
          <w:lang w:eastAsia="ar-SA"/>
        </w:rPr>
        <w:t>я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строящейся школы на 250 мест и строящегося катка</w:t>
      </w:r>
      <w:r w:rsidR="003F6D0B" w:rsidRPr="00EB5141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4A3A66" w:rsidRPr="00EB5141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C81826" w:rsidRPr="00EB5141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F26210" w:rsidRPr="00EB5141">
        <w:rPr>
          <w:rFonts w:ascii="Times New Roman" w:hAnsi="Times New Roman" w:cs="Calibri"/>
          <w:sz w:val="24"/>
          <w:szCs w:val="24"/>
          <w:lang w:eastAsia="ar-SA"/>
        </w:rPr>
        <w:t xml:space="preserve">приобретение основных средств 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>6781,0</w:t>
      </w:r>
      <w:r w:rsidR="00B852E4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E50FE8" w:rsidRPr="00EB5141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C31F7F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аванс </w:t>
      </w:r>
      <w:r w:rsidR="00FB223A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на строительство </w:t>
      </w:r>
      <w:r w:rsidR="00C31F7F" w:rsidRPr="00EB5141">
        <w:rPr>
          <w:rFonts w:ascii="Times New Roman" w:hAnsi="Times New Roman" w:cs="Calibri"/>
          <w:sz w:val="24"/>
          <w:szCs w:val="24"/>
          <w:lang w:eastAsia="ar-SA"/>
        </w:rPr>
        <w:t>школы на 250 мест</w:t>
      </w:r>
      <w:r w:rsidR="00FB223A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в п. Отрадное</w:t>
      </w:r>
      <w:r w:rsidR="00AB6F8B" w:rsidRPr="00EB5141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C81826" w:rsidRPr="00EB5141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3C4FC7" w:rsidRPr="00EB5141">
        <w:rPr>
          <w:rFonts w:ascii="Times New Roman" w:hAnsi="Times New Roman" w:cs="Calibri"/>
          <w:sz w:val="24"/>
          <w:szCs w:val="24"/>
          <w:lang w:eastAsia="ar-SA"/>
        </w:rPr>
        <w:t>по пособиям по соц.помощи, соц.пособиям – 36,0 тыс.руб.</w:t>
      </w:r>
      <w:r w:rsidR="00141EA5" w:rsidRPr="00EB5141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691EEA" w:rsidRPr="00EB5141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BA74B7" w:rsidRPr="00EB5141" w:rsidRDefault="00C81826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691EEA" w:rsidRPr="00EB5141">
        <w:rPr>
          <w:rFonts w:ascii="Times New Roman" w:hAnsi="Times New Roman" w:cs="Calibri"/>
          <w:sz w:val="24"/>
          <w:szCs w:val="24"/>
          <w:lang w:eastAsia="ar-SA"/>
        </w:rPr>
        <w:t xml:space="preserve">расчеты с подотчетными лицами </w:t>
      </w:r>
      <w:r w:rsidR="003C4FC7" w:rsidRPr="00EB5141">
        <w:rPr>
          <w:rFonts w:ascii="Times New Roman" w:hAnsi="Times New Roman" w:cs="Calibri"/>
          <w:sz w:val="24"/>
          <w:szCs w:val="24"/>
          <w:lang w:eastAsia="ar-SA"/>
        </w:rPr>
        <w:t>778</w:t>
      </w:r>
      <w:r w:rsidR="00C31F7F" w:rsidRPr="00EB514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3C4FC7" w:rsidRPr="00EB5141">
        <w:rPr>
          <w:rFonts w:ascii="Times New Roman" w:hAnsi="Times New Roman" w:cs="Calibri"/>
          <w:sz w:val="24"/>
          <w:szCs w:val="24"/>
          <w:lang w:eastAsia="ar-SA"/>
        </w:rPr>
        <w:t>0</w:t>
      </w:r>
      <w:r w:rsidR="00691EEA" w:rsidRPr="00EB5141">
        <w:rPr>
          <w:rFonts w:ascii="Times New Roman" w:hAnsi="Times New Roman" w:cs="Calibri"/>
          <w:sz w:val="24"/>
          <w:szCs w:val="24"/>
          <w:lang w:eastAsia="ar-SA"/>
        </w:rPr>
        <w:t>тыс. руб.</w:t>
      </w:r>
      <w:r w:rsidR="00F37077" w:rsidRPr="00EB5141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C62445" w:rsidRPr="00EB5141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141EA5" w:rsidRPr="00EB5141">
        <w:rPr>
          <w:rFonts w:ascii="Times New Roman" w:hAnsi="Times New Roman" w:cs="Calibri"/>
          <w:sz w:val="24"/>
          <w:szCs w:val="24"/>
          <w:lang w:eastAsia="ar-SA"/>
        </w:rPr>
        <w:t>+</w:t>
      </w:r>
      <w:r w:rsidR="003C4FC7" w:rsidRPr="00EB5141">
        <w:rPr>
          <w:rFonts w:ascii="Times New Roman" w:hAnsi="Times New Roman" w:cs="Calibri"/>
          <w:sz w:val="24"/>
          <w:szCs w:val="24"/>
          <w:lang w:eastAsia="ar-SA"/>
        </w:rPr>
        <w:t>139,0</w:t>
      </w:r>
      <w:r w:rsidR="003F6D0B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141EA5" w:rsidRPr="00EB5141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EB51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C62445" w:rsidRPr="00EB5141">
        <w:rPr>
          <w:rFonts w:ascii="Times New Roman" w:hAnsi="Times New Roman" w:cs="Calibri"/>
          <w:sz w:val="24"/>
          <w:szCs w:val="24"/>
          <w:lang w:eastAsia="ar-SA"/>
        </w:rPr>
        <w:t>выданы конв</w:t>
      </w:r>
      <w:r w:rsidR="006B0F90" w:rsidRPr="00EB5141">
        <w:rPr>
          <w:rFonts w:ascii="Times New Roman" w:hAnsi="Times New Roman" w:cs="Calibri"/>
          <w:sz w:val="24"/>
          <w:szCs w:val="24"/>
          <w:lang w:eastAsia="ar-SA"/>
        </w:rPr>
        <w:t>ерты, марки в декабре 20</w:t>
      </w:r>
      <w:r w:rsidR="00C31F7F" w:rsidRPr="00EB5141">
        <w:rPr>
          <w:rFonts w:ascii="Times New Roman" w:hAnsi="Times New Roman" w:cs="Calibri"/>
          <w:sz w:val="24"/>
          <w:szCs w:val="24"/>
          <w:lang w:eastAsia="ar-SA"/>
        </w:rPr>
        <w:t>2</w:t>
      </w:r>
      <w:r w:rsidR="003C4FC7" w:rsidRPr="00EB5141">
        <w:rPr>
          <w:rFonts w:ascii="Times New Roman" w:hAnsi="Times New Roman" w:cs="Calibri"/>
          <w:sz w:val="24"/>
          <w:szCs w:val="24"/>
          <w:lang w:eastAsia="ar-SA"/>
        </w:rPr>
        <w:t>2</w:t>
      </w:r>
      <w:r w:rsidR="006B0F90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года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), </w:t>
      </w:r>
    </w:p>
    <w:p w:rsidR="00BA74B7" w:rsidRPr="00EB5141" w:rsidRDefault="00BA74B7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3. </w:t>
      </w:r>
      <w:r w:rsidRPr="00EB5141">
        <w:rPr>
          <w:rFonts w:ascii="Times New Roman" w:hAnsi="Times New Roman" w:cs="Calibri"/>
          <w:sz w:val="24"/>
          <w:szCs w:val="24"/>
          <w:u w:val="single"/>
          <w:lang w:eastAsia="ar-SA"/>
        </w:rPr>
        <w:t>З</w:t>
      </w:r>
      <w:r w:rsidR="00F37077" w:rsidRPr="00EB5141">
        <w:rPr>
          <w:rFonts w:ascii="Times New Roman" w:hAnsi="Times New Roman" w:cs="Calibri"/>
          <w:sz w:val="24"/>
          <w:szCs w:val="24"/>
          <w:u w:val="single"/>
          <w:lang w:eastAsia="ar-SA"/>
        </w:rPr>
        <w:t>адолженность по расчетам</w:t>
      </w:r>
      <w:r w:rsidR="00F37077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по платежам в бюджет составила</w:t>
      </w:r>
      <w:r w:rsidR="003C4FC7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313348">
        <w:rPr>
          <w:rFonts w:ascii="Times New Roman" w:hAnsi="Times New Roman" w:cs="Calibri"/>
          <w:sz w:val="24"/>
          <w:szCs w:val="24"/>
          <w:lang w:eastAsia="ar-SA"/>
        </w:rPr>
        <w:t>392</w:t>
      </w:r>
      <w:r w:rsidR="003C4FC7" w:rsidRPr="00EB5141">
        <w:rPr>
          <w:rFonts w:ascii="Times New Roman" w:hAnsi="Times New Roman" w:cs="Calibri"/>
          <w:sz w:val="24"/>
          <w:szCs w:val="24"/>
          <w:lang w:eastAsia="ar-SA"/>
        </w:rPr>
        <w:t>,0</w:t>
      </w:r>
      <w:r w:rsidR="00F37077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 (+</w:t>
      </w:r>
      <w:r w:rsidR="00313348">
        <w:rPr>
          <w:rFonts w:ascii="Times New Roman" w:hAnsi="Times New Roman" w:cs="Calibri"/>
          <w:sz w:val="24"/>
          <w:szCs w:val="24"/>
          <w:lang w:eastAsia="ar-SA"/>
        </w:rPr>
        <w:t>204,0</w:t>
      </w:r>
      <w:r w:rsidR="00F37077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руб.). </w:t>
      </w:r>
    </w:p>
    <w:p w:rsidR="007363F5" w:rsidRPr="00EB5141" w:rsidRDefault="00BA74B7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4. </w:t>
      </w:r>
      <w:r w:rsidR="00F37077" w:rsidRPr="00EB5141">
        <w:rPr>
          <w:rFonts w:ascii="Times New Roman" w:hAnsi="Times New Roman" w:cs="Calibri"/>
          <w:sz w:val="24"/>
          <w:szCs w:val="24"/>
          <w:u w:val="single"/>
          <w:lang w:eastAsia="ar-SA"/>
        </w:rPr>
        <w:t>З</w:t>
      </w:r>
      <w:r w:rsidR="00F72521" w:rsidRPr="00EB5141">
        <w:rPr>
          <w:rFonts w:ascii="Times New Roman" w:hAnsi="Times New Roman" w:cs="Calibri"/>
          <w:sz w:val="24"/>
          <w:szCs w:val="24"/>
          <w:u w:val="single"/>
          <w:lang w:eastAsia="ar-SA"/>
        </w:rPr>
        <w:t>адолженности по ущербу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и другим д</w:t>
      </w:r>
      <w:r w:rsidR="00C62445" w:rsidRPr="00EB5141">
        <w:rPr>
          <w:rFonts w:ascii="Times New Roman" w:hAnsi="Times New Roman" w:cs="Calibri"/>
          <w:sz w:val="24"/>
          <w:szCs w:val="24"/>
          <w:lang w:eastAsia="ar-SA"/>
        </w:rPr>
        <w:t xml:space="preserve">оходам  </w:t>
      </w:r>
      <w:r w:rsidR="00EB5141" w:rsidRPr="00EB5141">
        <w:rPr>
          <w:rFonts w:ascii="Times New Roman" w:hAnsi="Times New Roman" w:cs="Calibri"/>
          <w:sz w:val="24"/>
          <w:szCs w:val="24"/>
          <w:lang w:eastAsia="ar-SA"/>
        </w:rPr>
        <w:t>20534,3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C62445" w:rsidRPr="00EB5141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EB5141" w:rsidRPr="00EB5141">
        <w:rPr>
          <w:rFonts w:ascii="Times New Roman" w:hAnsi="Times New Roman" w:cs="Calibri"/>
          <w:sz w:val="24"/>
          <w:szCs w:val="24"/>
          <w:lang w:eastAsia="ar-SA"/>
        </w:rPr>
        <w:t>-39725,4</w:t>
      </w:r>
      <w:r w:rsidR="00C62445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руб.)</w:t>
      </w:r>
      <w:r w:rsidR="00EB514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7363F5" w:rsidRPr="00EB5141">
        <w:rPr>
          <w:rFonts w:ascii="Times New Roman" w:hAnsi="Times New Roman" w:cs="Calibri"/>
          <w:sz w:val="24"/>
          <w:szCs w:val="24"/>
          <w:lang w:eastAsia="ar-SA"/>
        </w:rPr>
        <w:t xml:space="preserve">в </w:t>
      </w:r>
      <w:r w:rsidR="00BC207D" w:rsidRPr="00EB5141">
        <w:rPr>
          <w:rFonts w:ascii="Times New Roman" w:hAnsi="Times New Roman" w:cs="Calibri"/>
          <w:sz w:val="24"/>
          <w:szCs w:val="24"/>
          <w:lang w:eastAsia="ar-SA"/>
        </w:rPr>
        <w:t>том числе</w:t>
      </w:r>
      <w:r w:rsidR="007363F5" w:rsidRPr="00EB5141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7363F5" w:rsidRPr="00EB5141" w:rsidRDefault="007363F5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3D5093" w:rsidRPr="00EB5141">
        <w:rPr>
          <w:rFonts w:ascii="Times New Roman" w:hAnsi="Times New Roman" w:cs="Calibri"/>
          <w:sz w:val="24"/>
          <w:szCs w:val="24"/>
          <w:lang w:eastAsia="ar-SA"/>
        </w:rPr>
        <w:t>по возврату дебиторской задо</w:t>
      </w:r>
      <w:r w:rsidR="00EB5141">
        <w:rPr>
          <w:rFonts w:ascii="Times New Roman" w:hAnsi="Times New Roman" w:cs="Calibri"/>
          <w:sz w:val="24"/>
          <w:szCs w:val="24"/>
          <w:lang w:eastAsia="ar-SA"/>
        </w:rPr>
        <w:t>лженности прошлых лет 525,1тыс. руб.(-35643,8 тыс. руб.</w:t>
      </w:r>
      <w:r w:rsidR="003D5093" w:rsidRPr="00EB5141">
        <w:rPr>
          <w:rFonts w:ascii="Times New Roman" w:hAnsi="Times New Roman" w:cs="Calibri"/>
          <w:sz w:val="24"/>
          <w:szCs w:val="24"/>
          <w:lang w:eastAsia="ar-SA"/>
        </w:rPr>
        <w:t xml:space="preserve">) </w:t>
      </w:r>
    </w:p>
    <w:p w:rsidR="007363F5" w:rsidRPr="00EB5141" w:rsidRDefault="007363F5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неустойка по муниципальным контрактам за нарушение сроков выполнения работ по решениям суда </w:t>
      </w:r>
      <w:r w:rsidR="00D56264">
        <w:rPr>
          <w:rFonts w:ascii="Times New Roman" w:hAnsi="Times New Roman" w:cs="Calibri"/>
          <w:sz w:val="24"/>
          <w:szCs w:val="24"/>
          <w:lang w:eastAsia="ar-SA"/>
        </w:rPr>
        <w:t>2721,8</w:t>
      </w:r>
      <w:r w:rsidR="00F72521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2832AB" w:rsidRPr="00EB5141">
        <w:rPr>
          <w:rFonts w:ascii="Times New Roman" w:hAnsi="Times New Roman" w:cs="Calibri"/>
          <w:sz w:val="24"/>
          <w:szCs w:val="24"/>
          <w:lang w:eastAsia="ar-SA"/>
        </w:rPr>
        <w:t>(</w:t>
      </w:r>
      <w:r w:rsidR="00D56264">
        <w:rPr>
          <w:rFonts w:ascii="Times New Roman" w:hAnsi="Times New Roman" w:cs="Calibri"/>
          <w:sz w:val="24"/>
          <w:szCs w:val="24"/>
          <w:lang w:eastAsia="ar-SA"/>
        </w:rPr>
        <w:t>-7483,9</w:t>
      </w:r>
      <w:r w:rsidR="002170AA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руб.)</w:t>
      </w:r>
      <w:r w:rsidR="003E73D9" w:rsidRPr="00EB5141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</w:p>
    <w:p w:rsidR="009972B2" w:rsidRPr="00EB5141" w:rsidRDefault="007363F5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5141">
        <w:rPr>
          <w:rFonts w:ascii="Times New Roman" w:hAnsi="Times New Roman" w:cs="Calibri"/>
          <w:sz w:val="24"/>
          <w:szCs w:val="24"/>
          <w:lang w:eastAsia="ar-SA"/>
        </w:rPr>
        <w:lastRenderedPageBreak/>
        <w:t xml:space="preserve">- </w:t>
      </w:r>
      <w:r w:rsidR="00BB4CC2" w:rsidRPr="00EB5141">
        <w:rPr>
          <w:rFonts w:ascii="Times New Roman" w:hAnsi="Times New Roman" w:cs="Calibri"/>
          <w:sz w:val="24"/>
          <w:szCs w:val="24"/>
          <w:lang w:eastAsia="ar-SA"/>
        </w:rPr>
        <w:t xml:space="preserve">задолженность по суммам неосновательного обогащения за пользование земельными участками </w:t>
      </w:r>
      <w:r w:rsidR="00D56264">
        <w:rPr>
          <w:rFonts w:ascii="Times New Roman" w:hAnsi="Times New Roman" w:cs="Calibri"/>
          <w:sz w:val="24"/>
          <w:szCs w:val="24"/>
          <w:lang w:eastAsia="ar-SA"/>
        </w:rPr>
        <w:t>17287,4</w:t>
      </w:r>
      <w:r w:rsidR="00BB4CC2" w:rsidRPr="00EB514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</w:p>
    <w:p w:rsidR="00BC207D" w:rsidRPr="00AE7662" w:rsidRDefault="00BC207D" w:rsidP="007363F5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E7662">
        <w:rPr>
          <w:rFonts w:ascii="Times New Roman" w:hAnsi="Times New Roman" w:cs="Calibri"/>
          <w:sz w:val="24"/>
          <w:szCs w:val="24"/>
          <w:lang w:eastAsia="ar-SA"/>
        </w:rPr>
        <w:t xml:space="preserve">Относительно начала года, дебиторская задолженность увеличилась на </w:t>
      </w:r>
      <w:r w:rsidR="00D56264" w:rsidRPr="00AE7662">
        <w:rPr>
          <w:rFonts w:ascii="Times New Roman" w:hAnsi="Times New Roman" w:cs="Calibri"/>
          <w:sz w:val="24"/>
          <w:szCs w:val="24"/>
          <w:lang w:eastAsia="ar-SA"/>
        </w:rPr>
        <w:t>87943,9</w:t>
      </w:r>
      <w:r w:rsidRPr="00AE7662">
        <w:rPr>
          <w:rFonts w:ascii="Times New Roman" w:hAnsi="Times New Roman" w:cs="Calibri"/>
          <w:sz w:val="24"/>
          <w:szCs w:val="24"/>
          <w:lang w:eastAsia="ar-SA"/>
        </w:rPr>
        <w:t xml:space="preserve"> тыс. руб. или на </w:t>
      </w:r>
      <w:r w:rsidR="00D56264" w:rsidRPr="00AE7662">
        <w:rPr>
          <w:rFonts w:ascii="Times New Roman" w:hAnsi="Times New Roman" w:cs="Calibri"/>
          <w:sz w:val="24"/>
          <w:szCs w:val="24"/>
          <w:lang w:eastAsia="ar-SA"/>
        </w:rPr>
        <w:t>2,9</w:t>
      </w:r>
      <w:r w:rsidRPr="00AE7662">
        <w:rPr>
          <w:rFonts w:ascii="Times New Roman" w:hAnsi="Times New Roman" w:cs="Calibri"/>
          <w:sz w:val="24"/>
          <w:szCs w:val="24"/>
          <w:lang w:eastAsia="ar-SA"/>
        </w:rPr>
        <w:t>%.</w:t>
      </w:r>
      <w:r w:rsidR="00D56264" w:rsidRPr="00AE766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4D428E" w:rsidRPr="00AE7662">
        <w:rPr>
          <w:rFonts w:ascii="Times New Roman" w:hAnsi="Times New Roman" w:cs="Calibri"/>
          <w:sz w:val="24"/>
          <w:szCs w:val="24"/>
          <w:lang w:eastAsia="ar-SA"/>
        </w:rPr>
        <w:t>Просроченная дебиторская задолженность у</w:t>
      </w:r>
      <w:r w:rsidR="00D56264" w:rsidRPr="00AE7662">
        <w:rPr>
          <w:rFonts w:ascii="Times New Roman" w:hAnsi="Times New Roman" w:cs="Calibri"/>
          <w:sz w:val="24"/>
          <w:szCs w:val="24"/>
          <w:lang w:eastAsia="ar-SA"/>
        </w:rPr>
        <w:t>меньшил</w:t>
      </w:r>
      <w:r w:rsidR="004D428E" w:rsidRPr="00AE7662">
        <w:rPr>
          <w:rFonts w:ascii="Times New Roman" w:hAnsi="Times New Roman" w:cs="Calibri"/>
          <w:sz w:val="24"/>
          <w:szCs w:val="24"/>
          <w:lang w:eastAsia="ar-SA"/>
        </w:rPr>
        <w:t xml:space="preserve">ась на </w:t>
      </w:r>
      <w:r w:rsidR="00AE7662" w:rsidRPr="00AE7662">
        <w:rPr>
          <w:rFonts w:ascii="Times New Roman" w:hAnsi="Times New Roman" w:cs="Calibri"/>
          <w:sz w:val="24"/>
          <w:szCs w:val="24"/>
          <w:lang w:eastAsia="ar-SA"/>
        </w:rPr>
        <w:t>22812,9</w:t>
      </w:r>
      <w:r w:rsidR="004D428E" w:rsidRPr="00AE766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AE7662" w:rsidRPr="00AE7662">
        <w:rPr>
          <w:rFonts w:ascii="Times New Roman" w:hAnsi="Times New Roman" w:cs="Calibri"/>
          <w:sz w:val="24"/>
          <w:szCs w:val="24"/>
          <w:lang w:eastAsia="ar-SA"/>
        </w:rPr>
        <w:t xml:space="preserve">тыс. руб. </w:t>
      </w:r>
      <w:r w:rsidR="00D56264" w:rsidRPr="00AE7662">
        <w:rPr>
          <w:rFonts w:ascii="Times New Roman" w:hAnsi="Times New Roman" w:cs="Calibri"/>
          <w:sz w:val="24"/>
          <w:szCs w:val="24"/>
          <w:lang w:eastAsia="ar-SA"/>
        </w:rPr>
        <w:t>или 20,9%</w:t>
      </w:r>
      <w:r w:rsidR="00AE7662" w:rsidRPr="00AE766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4D428E" w:rsidRPr="00AE7662">
        <w:rPr>
          <w:rFonts w:ascii="Times New Roman" w:hAnsi="Times New Roman" w:cs="Calibri"/>
          <w:sz w:val="24"/>
          <w:szCs w:val="24"/>
          <w:lang w:eastAsia="ar-SA"/>
        </w:rPr>
        <w:t xml:space="preserve"> и составила </w:t>
      </w:r>
      <w:r w:rsidR="00D56264" w:rsidRPr="00AE7662">
        <w:rPr>
          <w:rFonts w:ascii="Times New Roman" w:hAnsi="Times New Roman" w:cs="Calibri"/>
          <w:sz w:val="24"/>
          <w:szCs w:val="24"/>
          <w:lang w:eastAsia="ar-SA"/>
        </w:rPr>
        <w:t>86333,9</w:t>
      </w:r>
      <w:r w:rsidR="004D428E" w:rsidRPr="00AE7662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</w:p>
    <w:p w:rsidR="00F72521" w:rsidRPr="00CE112B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highlight w:val="yellow"/>
          <w:lang w:eastAsia="ar-SA"/>
        </w:rPr>
      </w:pPr>
    </w:p>
    <w:p w:rsidR="004D428E" w:rsidRPr="00356D76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            Кредиторская задолженность на 01.01.20</w:t>
      </w:r>
      <w:r w:rsidR="00871FA9" w:rsidRPr="00356D76">
        <w:rPr>
          <w:rFonts w:ascii="Times New Roman" w:hAnsi="Times New Roman" w:cs="Calibri"/>
          <w:sz w:val="24"/>
          <w:szCs w:val="24"/>
          <w:lang w:eastAsia="ar-SA"/>
        </w:rPr>
        <w:t>2</w:t>
      </w:r>
      <w:r w:rsidR="00AE7662" w:rsidRPr="00356D76">
        <w:rPr>
          <w:rFonts w:ascii="Times New Roman" w:hAnsi="Times New Roman" w:cs="Calibri"/>
          <w:sz w:val="24"/>
          <w:szCs w:val="24"/>
          <w:lang w:eastAsia="ar-SA"/>
        </w:rPr>
        <w:t>3</w:t>
      </w:r>
      <w:r w:rsidR="00B72402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г. </w:t>
      </w:r>
      <w:r w:rsidR="0012144F" w:rsidRPr="00356D76">
        <w:rPr>
          <w:rFonts w:ascii="Times New Roman" w:hAnsi="Times New Roman" w:cs="Calibri"/>
          <w:sz w:val="24"/>
          <w:szCs w:val="24"/>
          <w:lang w:eastAsia="ar-SA"/>
        </w:rPr>
        <w:t xml:space="preserve">составляет </w:t>
      </w:r>
      <w:r w:rsidR="00AE7662" w:rsidRPr="00356D76">
        <w:rPr>
          <w:rFonts w:ascii="Times New Roman" w:hAnsi="Times New Roman" w:cs="Calibri"/>
          <w:sz w:val="24"/>
          <w:szCs w:val="24"/>
          <w:lang w:eastAsia="ar-SA"/>
        </w:rPr>
        <w:t>136051,0</w:t>
      </w:r>
      <w:r w:rsidR="005C3F65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>тыс. руб., из них</w:t>
      </w:r>
      <w:r w:rsidR="006B0F90" w:rsidRPr="00356D76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4D428E" w:rsidRPr="00356D76" w:rsidRDefault="00F72521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1. </w:t>
      </w:r>
      <w:r w:rsidR="004D5C78" w:rsidRPr="00356D76">
        <w:rPr>
          <w:rFonts w:ascii="Times New Roman" w:hAnsi="Times New Roman" w:cs="Calibri"/>
          <w:sz w:val="24"/>
          <w:szCs w:val="24"/>
          <w:u w:val="single"/>
          <w:lang w:eastAsia="ar-SA"/>
        </w:rPr>
        <w:t>Задолженность по выплатам</w:t>
      </w:r>
      <w:r w:rsidR="004D5C78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составляет</w:t>
      </w:r>
      <w:r w:rsidR="00AE7662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60123,0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>тыс. руб.</w:t>
      </w:r>
      <w:r w:rsidR="00AC0243" w:rsidRPr="00356D76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AE7662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из них:</w:t>
      </w:r>
    </w:p>
    <w:p w:rsidR="004D428E" w:rsidRPr="00356D76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1D5B22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по коммунальным услугам </w:t>
      </w:r>
      <w:r w:rsidR="00AE7662" w:rsidRPr="00356D76">
        <w:rPr>
          <w:rFonts w:ascii="Times New Roman" w:hAnsi="Times New Roman" w:cs="Calibri"/>
          <w:sz w:val="24"/>
          <w:szCs w:val="24"/>
          <w:lang w:eastAsia="ar-SA"/>
        </w:rPr>
        <w:t>46343,6</w:t>
      </w:r>
      <w:r w:rsidR="001D5B22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руб., </w:t>
      </w:r>
    </w:p>
    <w:p w:rsidR="004D428E" w:rsidRPr="00356D76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1D5B22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по работам по содержанию имущества </w:t>
      </w:r>
      <w:r w:rsidR="00AE7662" w:rsidRPr="00356D76">
        <w:rPr>
          <w:rFonts w:ascii="Times New Roman" w:hAnsi="Times New Roman" w:cs="Calibri"/>
          <w:sz w:val="24"/>
          <w:szCs w:val="24"/>
          <w:lang w:eastAsia="ar-SA"/>
        </w:rPr>
        <w:t>4761,3</w:t>
      </w:r>
      <w:r w:rsidR="001D5B22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руб., </w:t>
      </w:r>
    </w:p>
    <w:p w:rsidR="004D428E" w:rsidRPr="00356D76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3230A1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по прочим услугам </w:t>
      </w:r>
      <w:r w:rsidR="00AE7662" w:rsidRPr="00356D76">
        <w:rPr>
          <w:rFonts w:ascii="Times New Roman" w:hAnsi="Times New Roman" w:cs="Calibri"/>
          <w:sz w:val="24"/>
          <w:szCs w:val="24"/>
          <w:lang w:eastAsia="ar-SA"/>
        </w:rPr>
        <w:t>2135,4</w:t>
      </w:r>
      <w:r w:rsidR="003230A1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 (</w:t>
      </w:r>
      <w:r w:rsidR="00AC0243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задолженность 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предрейсовый и мед. Осмотр, противопожарную опашку и д.р.</w:t>
      </w:r>
      <w:r w:rsidR="003230A1" w:rsidRPr="00356D76">
        <w:rPr>
          <w:rFonts w:ascii="Times New Roman" w:hAnsi="Times New Roman" w:cs="Calibri"/>
          <w:sz w:val="24"/>
          <w:szCs w:val="24"/>
          <w:lang w:eastAsia="ar-SA"/>
        </w:rPr>
        <w:t>)</w:t>
      </w:r>
      <w:r w:rsidR="0000437F" w:rsidRPr="00356D76">
        <w:rPr>
          <w:rFonts w:ascii="Times New Roman" w:hAnsi="Times New Roman" w:cs="Calibri"/>
          <w:sz w:val="24"/>
          <w:szCs w:val="24"/>
          <w:lang w:eastAsia="ar-SA"/>
        </w:rPr>
        <w:t>,</w:t>
      </w:r>
    </w:p>
    <w:p w:rsidR="004D428E" w:rsidRPr="00356D76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1B5626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по приобретению основных средств 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165,2</w:t>
      </w:r>
      <w:r w:rsidR="001B5626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руб., </w:t>
      </w:r>
    </w:p>
    <w:p w:rsidR="00F72521" w:rsidRPr="00356D76" w:rsidRDefault="004D428E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311137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по приобретению 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>материальных запасов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C3F65" w:rsidRPr="00356D76">
        <w:rPr>
          <w:rFonts w:ascii="Times New Roman" w:hAnsi="Times New Roman" w:cs="Calibri"/>
          <w:sz w:val="24"/>
          <w:szCs w:val="24"/>
          <w:lang w:eastAsia="ar-SA"/>
        </w:rPr>
        <w:t>20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99,8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1B0E13" w:rsidRPr="00356D76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F72521" w:rsidRPr="00356D76" w:rsidRDefault="00F72521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2.  </w:t>
      </w:r>
      <w:r w:rsidRPr="00356D76">
        <w:rPr>
          <w:rFonts w:ascii="Times New Roman" w:hAnsi="Times New Roman" w:cs="Calibri"/>
          <w:sz w:val="24"/>
          <w:szCs w:val="24"/>
          <w:u w:val="single"/>
          <w:lang w:eastAsia="ar-SA"/>
        </w:rPr>
        <w:t>Расчеты по платежам в бюджеты</w:t>
      </w:r>
      <w:r w:rsidR="004C1188" w:rsidRPr="00356D76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35613,3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DD5C5C" w:rsidRPr="00356D76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1B5626" w:rsidRPr="00356D76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 w:rsidR="00122A03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в </w:t>
      </w:r>
      <w:r w:rsidR="004D428E" w:rsidRPr="00356D76">
        <w:rPr>
          <w:rFonts w:ascii="Times New Roman" w:hAnsi="Times New Roman" w:cs="Calibri"/>
          <w:sz w:val="24"/>
          <w:szCs w:val="24"/>
          <w:lang w:eastAsia="ar-SA"/>
        </w:rPr>
        <w:t>том числе</w:t>
      </w:r>
      <w:r w:rsidR="001B5626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по НДФЛ 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-</w:t>
      </w:r>
      <w:r w:rsidR="00122A03" w:rsidRPr="00356D76">
        <w:rPr>
          <w:rFonts w:ascii="Times New Roman" w:hAnsi="Times New Roman" w:cs="Calibri"/>
          <w:sz w:val="24"/>
          <w:szCs w:val="24"/>
          <w:lang w:eastAsia="ar-SA"/>
        </w:rPr>
        <w:t>7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4</w:t>
      </w:r>
      <w:r w:rsidR="00122A03" w:rsidRPr="00356D76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0</w:t>
      </w:r>
      <w:r w:rsidR="0094059A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руб., по страховым взносам </w:t>
      </w:r>
      <w:r w:rsidR="00122A03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на обязательное социальное страхование и от несчастных случаев на производстве 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3382,0</w:t>
      </w:r>
      <w:r w:rsidR="0094059A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тыс.руб., налог на имущество </w:t>
      </w:r>
      <w:r w:rsidR="00122A03" w:rsidRPr="00356D76">
        <w:rPr>
          <w:rFonts w:ascii="Times New Roman" w:hAnsi="Times New Roman" w:cs="Calibri"/>
          <w:sz w:val="24"/>
          <w:szCs w:val="24"/>
          <w:lang w:eastAsia="ar-SA"/>
        </w:rPr>
        <w:t>7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46,0</w:t>
      </w:r>
      <w:r w:rsidR="0094059A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руб., 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>транспортному налогу 88,0 тыс.руб.</w:t>
      </w:r>
      <w:r w:rsidR="008170DD" w:rsidRPr="00356D76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НДС-78 тыс.руб.,</w:t>
      </w:r>
      <w:r w:rsidR="008170DD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122A03" w:rsidRPr="00356D76">
        <w:rPr>
          <w:rFonts w:ascii="Times New Roman" w:hAnsi="Times New Roman" w:cs="Calibri"/>
          <w:sz w:val="24"/>
          <w:szCs w:val="24"/>
          <w:lang w:eastAsia="ar-SA"/>
        </w:rPr>
        <w:t>по страховым взносам на медицинское и пенсионное страхование</w:t>
      </w:r>
      <w:r w:rsidR="004C1188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28739,0</w:t>
      </w:r>
      <w:r w:rsidR="008170DD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; </w:t>
      </w:r>
    </w:p>
    <w:p w:rsidR="00F72521" w:rsidRPr="00356D76" w:rsidRDefault="00F72521" w:rsidP="004D428E">
      <w:pPr>
        <w:autoSpaceDE w:val="0"/>
        <w:spacing w:after="0" w:line="1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3. </w:t>
      </w:r>
      <w:r w:rsidR="006B0F90" w:rsidRPr="00356D76">
        <w:rPr>
          <w:rFonts w:ascii="Times New Roman" w:hAnsi="Times New Roman" w:cs="Calibri"/>
          <w:sz w:val="24"/>
          <w:szCs w:val="24"/>
          <w:u w:val="single"/>
          <w:lang w:eastAsia="ar-SA"/>
        </w:rPr>
        <w:t>З</w:t>
      </w:r>
      <w:r w:rsidRPr="00356D76">
        <w:rPr>
          <w:rFonts w:ascii="Times New Roman" w:hAnsi="Times New Roman" w:cs="Calibri"/>
          <w:sz w:val="24"/>
          <w:szCs w:val="24"/>
          <w:u w:val="single"/>
          <w:lang w:eastAsia="ar-SA"/>
        </w:rPr>
        <w:t>адолженности по доходам</w:t>
      </w:r>
      <w:r w:rsidR="00356D76" w:rsidRPr="00356D76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="006B0F90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356D76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(остатки субсидий ,субвенций , подлежащие перечислению в областной бюджет в 2023 году) в </w:t>
      </w:r>
      <w:r w:rsidR="006B0F90" w:rsidRPr="00356D76">
        <w:rPr>
          <w:rFonts w:ascii="Times New Roman" w:hAnsi="Times New Roman" w:cs="Calibri"/>
          <w:sz w:val="24"/>
          <w:szCs w:val="24"/>
          <w:lang w:eastAsia="ar-SA"/>
        </w:rPr>
        <w:t xml:space="preserve">сумме </w:t>
      </w:r>
      <w:r w:rsidR="00356D76" w:rsidRPr="00356D76">
        <w:rPr>
          <w:rFonts w:ascii="Times New Roman" w:hAnsi="Times New Roman" w:cs="Calibri"/>
          <w:sz w:val="24"/>
          <w:szCs w:val="24"/>
          <w:lang w:eastAsia="ar-SA"/>
        </w:rPr>
        <w:t>2504,0</w:t>
      </w:r>
      <w:r w:rsidR="006B0F90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6A71BB" w:rsidRPr="00356D76">
        <w:rPr>
          <w:rFonts w:ascii="Times New Roman" w:hAnsi="Times New Roman" w:cs="Calibri"/>
          <w:sz w:val="24"/>
          <w:szCs w:val="24"/>
          <w:lang w:eastAsia="ar-SA"/>
        </w:rPr>
        <w:t xml:space="preserve">., </w:t>
      </w:r>
    </w:p>
    <w:p w:rsidR="004D428E" w:rsidRPr="00356D76" w:rsidRDefault="00F72521" w:rsidP="00A16F42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            Относительно начала года</w:t>
      </w:r>
      <w:r w:rsidR="00A461D0" w:rsidRPr="00356D76">
        <w:rPr>
          <w:rFonts w:ascii="Times New Roman" w:hAnsi="Times New Roman" w:cs="Calibri"/>
          <w:sz w:val="24"/>
          <w:szCs w:val="24"/>
          <w:lang w:eastAsia="ar-SA"/>
        </w:rPr>
        <w:t>,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 кредиторская зад</w:t>
      </w:r>
      <w:r w:rsidR="00E05149" w:rsidRPr="00356D76">
        <w:rPr>
          <w:rFonts w:ascii="Times New Roman" w:hAnsi="Times New Roman" w:cs="Calibri"/>
          <w:sz w:val="24"/>
          <w:szCs w:val="24"/>
          <w:lang w:eastAsia="ar-SA"/>
        </w:rPr>
        <w:t xml:space="preserve">олженность </w:t>
      </w:r>
      <w:r w:rsidR="005F7353" w:rsidRPr="00356D76">
        <w:rPr>
          <w:rFonts w:ascii="Times New Roman" w:hAnsi="Times New Roman" w:cs="Calibri"/>
          <w:sz w:val="24"/>
          <w:szCs w:val="24"/>
          <w:lang w:eastAsia="ar-SA"/>
        </w:rPr>
        <w:t>увеличилась</w:t>
      </w:r>
      <w:r w:rsidR="00E05149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 на </w:t>
      </w:r>
      <w:r w:rsidR="00356D76">
        <w:rPr>
          <w:rFonts w:ascii="Times New Roman" w:hAnsi="Times New Roman" w:cs="Calibri"/>
          <w:sz w:val="24"/>
          <w:szCs w:val="24"/>
          <w:lang w:eastAsia="ar-SA"/>
        </w:rPr>
        <w:t>16171,1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руб., или </w:t>
      </w:r>
      <w:r w:rsidR="00183648" w:rsidRPr="00356D76">
        <w:rPr>
          <w:rFonts w:ascii="Times New Roman" w:hAnsi="Times New Roman" w:cs="Calibri"/>
          <w:sz w:val="24"/>
          <w:szCs w:val="24"/>
          <w:lang w:eastAsia="ar-SA"/>
        </w:rPr>
        <w:t>на</w:t>
      </w:r>
      <w:r w:rsidR="00356D7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F7353" w:rsidRPr="00356D76">
        <w:rPr>
          <w:rFonts w:ascii="Times New Roman" w:hAnsi="Times New Roman" w:cs="Calibri"/>
          <w:sz w:val="24"/>
          <w:szCs w:val="24"/>
          <w:lang w:eastAsia="ar-SA"/>
        </w:rPr>
        <w:t>1</w:t>
      </w:r>
      <w:r w:rsidR="00356D76">
        <w:rPr>
          <w:rFonts w:ascii="Times New Roman" w:hAnsi="Times New Roman" w:cs="Calibri"/>
          <w:sz w:val="24"/>
          <w:szCs w:val="24"/>
          <w:lang w:eastAsia="ar-SA"/>
        </w:rPr>
        <w:t>3,5</w:t>
      </w:r>
      <w:r w:rsidR="00183648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%</w:t>
      </w:r>
      <w:r w:rsidRPr="00356D76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r w:rsidR="004D428E" w:rsidRPr="00356D76">
        <w:rPr>
          <w:rFonts w:ascii="Times New Roman" w:hAnsi="Times New Roman" w:cs="Calibri"/>
          <w:sz w:val="24"/>
          <w:szCs w:val="24"/>
          <w:lang w:eastAsia="ar-SA"/>
        </w:rPr>
        <w:t>Просроченная кредиторска</w:t>
      </w:r>
      <w:r w:rsidR="00356D76">
        <w:rPr>
          <w:rFonts w:ascii="Times New Roman" w:hAnsi="Times New Roman" w:cs="Calibri"/>
          <w:sz w:val="24"/>
          <w:szCs w:val="24"/>
          <w:lang w:eastAsia="ar-SA"/>
        </w:rPr>
        <w:t xml:space="preserve">я задолженность увеличилась на </w:t>
      </w:r>
      <w:r w:rsidR="00A34EA4">
        <w:rPr>
          <w:rFonts w:ascii="Times New Roman" w:hAnsi="Times New Roman" w:cs="Calibri"/>
          <w:sz w:val="24"/>
          <w:szCs w:val="24"/>
          <w:lang w:eastAsia="ar-SA"/>
        </w:rPr>
        <w:t>13399,1</w:t>
      </w:r>
      <w:r w:rsidR="004D428E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 и составила </w:t>
      </w:r>
      <w:r w:rsidR="00A34EA4">
        <w:rPr>
          <w:rFonts w:ascii="Times New Roman" w:hAnsi="Times New Roman" w:cs="Calibri"/>
          <w:sz w:val="24"/>
          <w:szCs w:val="24"/>
          <w:lang w:eastAsia="ar-SA"/>
        </w:rPr>
        <w:t>50108,1</w:t>
      </w:r>
      <w:r w:rsidR="004D428E" w:rsidRPr="00356D76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</w:p>
    <w:p w:rsidR="00F67FAE" w:rsidRDefault="00F67FAE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7CEC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Расходы. Общая часть.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Расходы бюджета городского округа исполнены на 93,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уточненного плана и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2 407759,4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рублей. К первоначальному плану фактическое исполнение увеличилось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270630,0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В сравнении с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 расходы выросли на </w:t>
      </w:r>
      <w:r w:rsidRPr="00E51368">
        <w:rPr>
          <w:rFonts w:ascii="Times New Roman" w:eastAsia="Calibri" w:hAnsi="Times New Roman" w:cs="Times New Roman"/>
          <w:sz w:val="24"/>
          <w:szCs w:val="24"/>
          <w:lang w:eastAsia="ar-SA"/>
        </w:rPr>
        <w:t>298202,2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 Общая характеристика расходов по разделам приведена в таблице: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553"/>
        <w:gridCol w:w="1545"/>
        <w:gridCol w:w="1727"/>
        <w:gridCol w:w="1237"/>
        <w:gridCol w:w="1543"/>
      </w:tblGrid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от 28.12.2021 № 482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 в соответствии с отчетом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в общей структуре расходов</w:t>
            </w:r>
          </w:p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</w:tr>
      <w:tr w:rsidR="00EE7CEC" w:rsidRPr="002E711F" w:rsidTr="00EE7CEC">
        <w:trPr>
          <w:trHeight w:val="222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4216A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2137129,4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B2011B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2574086,3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2407759,4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Общегосударственные расходы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149912,3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267418,0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246241,4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8824,9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11231,0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10083,0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254504,3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301196,0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297191,4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148016,2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185034,0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171882,9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7,1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1201800,5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1506184,0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1424396,0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59,2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Культура, </w:t>
            </w: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кинематография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57355,4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112758,8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98330,8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4,1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102175,9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108447,4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100968,8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206021,4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72793,4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50562,9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2,1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2349,5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2854,7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2854,7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EE7CEC" w:rsidRPr="002E711F" w:rsidTr="00EE7CEC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1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6169,0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6169,0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5347,5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</w:tr>
    </w:tbl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5124450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исполнение бюджета к первоначально утверждённому плану составило 11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2,7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Традиционно, наибольший удельный вес в общей структуре расходов занимают расходы на «Образование» 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59,2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EE7CEC" w:rsidRPr="00CE3433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На социальную сферу (образование, культура, социальная политика, физкультура) направлено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69,6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 (или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1674258,5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рублей) от общей суммы расходов. По сравнению  с предыдущим отчетным периодом, расходы на социальную сферу выросли 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64294,3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</w:t>
      </w:r>
      <w:r w:rsidRPr="00CE34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руб. </w:t>
      </w:r>
    </w:p>
    <w:p w:rsidR="00F67FAE" w:rsidRDefault="00EE7CEC" w:rsidP="00EE7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E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</w:p>
    <w:p w:rsidR="00F67FAE" w:rsidRDefault="00F67FAE" w:rsidP="00EE7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1B7E66" w:rsidRDefault="00EE7CEC" w:rsidP="00EE7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E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Решением Михайловской городской Думы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Волгоградской области </w:t>
      </w:r>
      <w:r w:rsidRPr="00412E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№ 482от28.12.2021 «О бюджете городского округа город Михайловка на 2022 год и плановый период 2023 и 2024 годов» утвержден перечень </w:t>
      </w:r>
      <w:r w:rsidRPr="00412E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главных распределителей бюджетных средств городского округа</w:t>
      </w:r>
      <w:r w:rsidRPr="00412E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администрация городского округа город Михайловка Волгоградской области, Михайловская городская Дума Волгоградской области, контрольно-счетная комиссия городского округа город Михайловка Волгоградской области, финансовый отдел администрации городского округа город Михайловка Волгоградской области, территориальная избирательная комиссия г. Михайловка.Решением Михайловской городской Думы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Волгоградской области от 31 мая 2022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 w:rsidRPr="00412EB9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изменения в решение Михайловской городской Думы </w:t>
      </w:r>
      <w:r w:rsidRPr="00C13D82">
        <w:rPr>
          <w:rFonts w:ascii="Times New Roman" w:eastAsia="Calibri" w:hAnsi="Times New Roman" w:cs="Times New Roman"/>
          <w:sz w:val="24"/>
          <w:szCs w:val="24"/>
        </w:rPr>
        <w:t>Волгоградской области от 28 декабря 2021 года № 482 «О бюджете городского округа город Михайловка Волгоградской области на 2022 год и на плановый период 2023 и 2024 годов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B546F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несено</w:t>
      </w:r>
      <w:r w:rsidRPr="00BB5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изменение  главного распорядителя бюджетных средств  «Территориальная избирательная комиссия г. Михайловка» на главного распорядителя  «Территориальная избирательная комиссия по Михайловскому района Волгоградской области».</w:t>
      </w:r>
    </w:p>
    <w:p w:rsidR="00EE7CEC" w:rsidRPr="00456D72" w:rsidRDefault="00EE7CEC" w:rsidP="00EE7C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6D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 приведенных в таблице данных видно, что в 2022 году общий объем неисполненных расходов составил 166326,9 тыс. рублей, или на 16837,8 тыс. руб. больше, чем в 2021 году. </w:t>
      </w:r>
    </w:p>
    <w:p w:rsidR="00EE7CEC" w:rsidRPr="002621C0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21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Исполнение по разделам бюджетной классификации сложилось следующим образом.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По разделу «Общегосударственные вопросы» 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расходы выросли, в сравнении с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годом,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30247,3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 и исполнены на 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2,1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плановых назначений или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246241,4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Постановлением Администрации Волгоградской обл.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13</w:t>
      </w:r>
      <w:r w:rsidRPr="002E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Pr="002E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</w:t>
      </w:r>
      <w:r w:rsidRPr="002E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Pr="002E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-п 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год" установлен норматив в размере </w:t>
      </w:r>
      <w:r>
        <w:rPr>
          <w:rFonts w:ascii="Times New Roman" w:hAnsi="Times New Roman" w:cs="Times New Roman"/>
          <w:sz w:val="24"/>
          <w:szCs w:val="24"/>
        </w:rPr>
        <w:t xml:space="preserve">102026,0 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 Согласно отчету об исполнении бюджета за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год, расходы на содержание органов местного самоуправления городского округа не превышают установленный норматив. Рекомендация устанавливать расходы на содержание представительного органа местного самоуправления и контрольно-счетного органа в совокупности в объеме, не превышающем 7 процентов норматива на содержание органов местного самоуправления выполняется.</w:t>
      </w:r>
    </w:p>
    <w:p w:rsidR="00EE7CEC" w:rsidRPr="002E711F" w:rsidRDefault="00EE7CEC" w:rsidP="00EE7C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2E711F"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34075" cy="5553075"/>
            <wp:effectExtent l="0" t="0" r="9525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Исполнение по подразделам сложилось следующим образом: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По данному подразделу отражается содержание главы муниципального образования, расходы по подразделу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1906,5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93,4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Расходы полностью сложились из расходов на заработную плату, начисления на оплату труда и прочих выплат. 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данному подразделу отражается содержание Михайловской городской Думы. Расходы  составили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2100,5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(9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,8%). 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EE7CEC" w:rsidRDefault="00EE7CEC" w:rsidP="00EE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По данному подразделу расходы исполнены в сумме  </w:t>
      </w:r>
      <w:r w:rsidRPr="004A26D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1 862,1</w:t>
      </w:r>
      <w:r w:rsidRPr="004A26DC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0,1%), в т.ч. </w:t>
      </w:r>
      <w:r w:rsidRPr="00D70C97">
        <w:rPr>
          <w:rFonts w:ascii="Times New Roman" w:hAnsi="Times New Roman" w:cs="Times New Roman"/>
          <w:sz w:val="24"/>
          <w:szCs w:val="24"/>
        </w:rPr>
        <w:t xml:space="preserve">на оплату кредиторской задолженности по начислениям на выплаты по оплате труда за счет средств дотации из областного бюджета в сумме 8 954,4 тыс. рублей, </w:t>
      </w:r>
    </w:p>
    <w:p w:rsidR="00EE7CEC" w:rsidRPr="004A26DC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0105 «Судебная система»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 данному подразделу расходы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690,8тыс. руб. (61,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0 %). </w:t>
      </w:r>
    </w:p>
    <w:p w:rsidR="00EE7CEC" w:rsidRPr="002E711F" w:rsidRDefault="00EE7CEC" w:rsidP="00EE7C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0106 «Обеспечение деятельности финансовых, налоговых и таможенных органов и органов финансового (финансового - бюджетного) надзора»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 данному подразделу финансируются контрольно-счетная комиссия городского округа город Михайловка и комитет по финансам администрации  городского округа.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На содержание контрольно-счетной комиссии расходы составили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2 152,2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75,8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%).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На содержание комитета по финансам администрации городского округа город Михайловка расходы составили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9 032,2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тыс. руб. (92,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</w:p>
    <w:p w:rsidR="00EE7CEC" w:rsidRDefault="00EE7CEC" w:rsidP="00EE7C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EE7CEC" w:rsidRPr="004763D8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4763D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0107 «Обеспечение проведения выборов и референдумов»</w:t>
      </w:r>
    </w:p>
    <w:p w:rsidR="00EE7CEC" w:rsidRPr="004763D8" w:rsidRDefault="00EE7CEC" w:rsidP="00EE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по расходам исполнен в сумме 7 704,8 тыс. рублей, или на 100 % годовых бюджетных назначений. Средств израсходованы на </w:t>
      </w:r>
      <w:r w:rsidRPr="004763D8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подготовку и проведение выборов депутатов Михайловской городской Думы Волгоградской области седьмого созыва 11 сентября 2022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7CEC" w:rsidRPr="004763D8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0113 «Другие общегосударственные  вопросы»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 подразделу су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мма расходов, в сравнении с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годом,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выросла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16 445,6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рублей, и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160792,3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рублей. Из них: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расходы на реализацию муниципальной программы по развитию муниципальной службы в городском округе город Михайлов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 составили 1,2 тыс. рублей (повышение квалификации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расходы на реализацию муниципальной программы по информатизации администрации городского округа город Михайловка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75,6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(</w:t>
      </w: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сетевого оборудования);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непрограммные направления обеспечения деятельности органов местного самоуправления:</w:t>
      </w:r>
    </w:p>
    <w:p w:rsidR="00EE7CEC" w:rsidRPr="00842A7B" w:rsidRDefault="00EE7CEC" w:rsidP="00EE7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A7B">
        <w:rPr>
          <w:rFonts w:ascii="Times New Roman" w:hAnsi="Times New Roman" w:cs="Times New Roman"/>
          <w:sz w:val="24"/>
          <w:szCs w:val="24"/>
        </w:rPr>
        <w:t>на выплату поощрения муниципальным служащим за достижение показателей деятельности органов местного самоуправления за счет межбюджетного трансферта из областного бюджета в сумме 1 426,3 тыс. рублей;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расходы по коду ведомства 751 «Михайловская городская Дума» в сумме 74,3 тыс. руб.;</w:t>
      </w:r>
    </w:p>
    <w:p w:rsidR="00EE7CEC" w:rsidRPr="00842A7B" w:rsidRDefault="00EE7CEC" w:rsidP="00EE7CEC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обеспечение выполнения функций отделами сельских территорий направлено 18 645,3 тыс. рублей или 97,9 % предусмотренных ассигнований, в т.ч. за счет средств дотации из областного бюджета 1 974,6 тыс. рублей;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исполнение  государственных полномочий за счет средств субвенции  расходы сложились в сумме 5 342,3 тыс. рублей: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субвенция на государственную регистрацию актов гражданского состояния 3235,9  тыс. рублей;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деятельности территориальной административной комиссии – 611,2 тыс. руб.;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деятельности комиссии по делам несовершеннолетних и защите их прав – 903,8 тыс. рублей;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деятельности архива – 591,4 тыс. рублей.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на обеспечение деятельности подведомственных учреждений расходы сложились в объеме 110 718,3 тыс. рублей, или 91,6% к годовому плану, в том числе на содержание:</w:t>
      </w:r>
    </w:p>
    <w:p w:rsidR="00EE7CEC" w:rsidRPr="00842A7B" w:rsidRDefault="00EE7CEC" w:rsidP="00EE7CEC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«Технический центр» в сумме 71 665,9 тыс. рублей, в т.ч. за счет средств дотации из областного бюджета 8 707,0 тыс. рублей;</w:t>
      </w:r>
    </w:p>
    <w:p w:rsidR="00EE7CEC" w:rsidRPr="00842A7B" w:rsidRDefault="00EE7CEC" w:rsidP="00EE7CEC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«Центр муниципальных закупок» в сумме 5 918,4 тыс. рублей, в т.ч. за счет средств дотации из областного бюджета 593,0 тыс. рублей;</w:t>
      </w:r>
    </w:p>
    <w:p w:rsidR="00EE7CEC" w:rsidRPr="00842A7B" w:rsidRDefault="00EE7CEC" w:rsidP="00EE7CEC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МКУ "Центр информационно-коммуникационных технологий" в сумме 4 649,3 тыс. рублей, в т.ч. за счет средств дотации из областного бюджета 484,4 тыс. рублей;</w:t>
      </w:r>
    </w:p>
    <w:p w:rsidR="00EE7CEC" w:rsidRPr="00842A7B" w:rsidRDefault="00EE7CEC" w:rsidP="00EE7CEC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«Центр финансово-бухгалтерского обслуживания» в сумме 28 484,7  тыс. рублей, в т.ч. за счет средств дотации из областного бюджета 4 100,1 тыс. рублей;</w:t>
      </w:r>
    </w:p>
    <w:p w:rsidR="00EE7CEC" w:rsidRPr="00842A7B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решение прочих функций, связанных с управлением, израсходовано 8 640,3  тыс. рублей, что составляет 85,3 % годовых бюджетных назначений, в т.ч. за счет средств дотации из областного бюджета 182,0 тыс. рублей (на оплату по исполнительным листам по решениям судов, представительские расходы и содержание имущества казны, на выплату премий ко Дню передовика агропромышленного комплекса);</w:t>
      </w:r>
    </w:p>
    <w:p w:rsidR="00EE7CEC" w:rsidRPr="00842A7B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субсидии на выполнение муниципального задания АУ «Центр градостроительства и землеустройства» в сумме 10 878,5 тыс. рублей (99,4%);</w:t>
      </w:r>
    </w:p>
    <w:p w:rsidR="00EE7CEC" w:rsidRPr="00842A7B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предоставление целевой субсидии АУ «Центр градостроительства и землеустройства» направлено 488,0 тыс. рублей;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75F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выплату денежного поощрения лучшим комиссиям по делам несовершеннолетних и защите их прав в сумме 50,0 тыс. рублей за счет средств областного бюджета;</w:t>
      </w:r>
    </w:p>
    <w:p w:rsidR="00EE7CEC" w:rsidRPr="00A2008E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приобретение жилого помещения в сумме 4 000,0 тыс. рублей за счет средств дотации из областного бюджета, поступившей в 2021 году;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A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на оценку недвижимости исполнение составило 452,2 тыс. рублей, или  99,2 % годового плана.</w:t>
      </w:r>
    </w:p>
    <w:p w:rsidR="00EE7CEC" w:rsidRPr="00842A7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разделу 0300 «Национальная безопасность и правоохранительная деятельность»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Фактическое исполнение составило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10 083,0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9,8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2E711F"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5925" cy="3009900"/>
            <wp:effectExtent l="0" t="0" r="9525" b="1905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По данному разделу финансируются следующие подразделы: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>0309 «Гражданская оборона»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Default="00EE7CEC" w:rsidP="00EE7CEC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подразделу расходы 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250,4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93,4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утвержденного плана). Расходы осуществлялись в рамках муниципальной программы «Обеспечение безопасности жизнедеятельности населения городского округа город Михайловка Волгоградской области на 2020-2022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461A1">
        <w:rPr>
          <w:rFonts w:ascii="Times New Roman" w:hAnsi="Times New Roman" w:cs="Times New Roman"/>
          <w:sz w:val="24"/>
          <w:szCs w:val="24"/>
        </w:rPr>
        <w:t xml:space="preserve"> рамках данного мероприятия проведено техническое обслуживание систем оповещения, оплачена кредиторская задолженность за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EC" w:rsidRPr="00B461A1" w:rsidRDefault="00EE7CEC" w:rsidP="00EE7CEC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0310 «Защита населения и территории от чрезвычайных ситуаций природного и техногенного характера, гражданская оборона»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733E03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3535,6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(80,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%). Расходы осуществлялись в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рамках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безопасности жизнедеятельности населения городского округа город Михайловка на 2020-2022 годы»</w:t>
      </w:r>
      <w:r w:rsidRPr="00733E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мероприятия по предупреждению  и ликвидации последствий чрезвычайны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ситуаций и стихийных бедствий. С</w:t>
      </w:r>
      <w:r w:rsidRPr="00733E0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направлены на обустройство минерализованных полос, содержание специальной автомобильной техники, погашение кредиторской задолженности,  комплекс мероприятий по страхованию опасных гидротехнических сооружений прудов «Коповой», «Бычий», «Новый» и «Рубцовский», обеспечение деятельности добровольной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Default="00EE7CEC" w:rsidP="00EE7CE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0314 «Другие вопросы в области национальной безопасности и правоохранительной деятельности»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6297,0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тыс. руб.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(96,2%).</w:t>
      </w:r>
    </w:p>
    <w:p w:rsidR="00EE7CEC" w:rsidRPr="00E727C5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Расходы в рамках муниципальной  программы «Обеспечение безопасности жизнедеятельности населения городского округа город Михайловка на 2020-2022 годы»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438,5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руб. (651,0тыс. </w:t>
      </w:r>
      <w:r w:rsidRPr="00E727C5">
        <w:rPr>
          <w:rFonts w:ascii="Times New Roman" w:eastAsia="Calibri" w:hAnsi="Times New Roman" w:cs="Times New Roman"/>
          <w:sz w:val="24"/>
          <w:szCs w:val="24"/>
          <w:lang w:eastAsia="ar-SA"/>
        </w:rPr>
        <w:t>рублей в 2021 году).</w:t>
      </w:r>
      <w:r w:rsidRPr="00E727C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E727C5">
        <w:rPr>
          <w:rFonts w:ascii="Times New Roman" w:hAnsi="Times New Roman" w:cs="Times New Roman"/>
        </w:rPr>
        <w:t>редства направлены на техническое обслуживание систем видеонаблюдения, приобретение запрещающих знаков, систем оповещения, специальной одежды, оплату электроэнергии, потребляемой системами видеонаблюдения</w:t>
      </w:r>
      <w:r>
        <w:rPr>
          <w:rFonts w:ascii="Times New Roman" w:hAnsi="Times New Roman" w:cs="Times New Roman"/>
        </w:rPr>
        <w:t>.</w:t>
      </w:r>
    </w:p>
    <w:p w:rsidR="00EE7CEC" w:rsidRPr="00E727C5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7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Непрограммные расходы:</w:t>
      </w:r>
    </w:p>
    <w:p w:rsidR="00EE7CEC" w:rsidRPr="003C44FB" w:rsidRDefault="00EE7CEC" w:rsidP="00EE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функционирования МКУ «Единая дежурная диспетчерская служба» </w:t>
      </w:r>
      <w:r w:rsidRPr="003C44FB">
        <w:rPr>
          <w:rFonts w:ascii="Times New Roman" w:hAnsi="Times New Roman" w:cs="Times New Roman"/>
          <w:sz w:val="24"/>
          <w:szCs w:val="24"/>
        </w:rPr>
        <w:t>5 562,8 тыс. рублей, или 97,4 % годовых бюджетных назначений</w:t>
      </w:r>
      <w:r w:rsidRPr="003C44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C44FB">
        <w:rPr>
          <w:rFonts w:ascii="Times New Roman" w:hAnsi="Times New Roman" w:cs="Times New Roman"/>
          <w:sz w:val="24"/>
          <w:szCs w:val="24"/>
        </w:rPr>
        <w:t xml:space="preserve"> в том числе за счет средств дотации из областного бюджета 934,5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E7CEC" w:rsidRPr="003C44FB" w:rsidRDefault="00EE7CEC" w:rsidP="00EE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4FB">
        <w:rPr>
          <w:rFonts w:ascii="Times New Roman" w:hAnsi="Times New Roman" w:cs="Times New Roman"/>
          <w:sz w:val="24"/>
          <w:szCs w:val="24"/>
        </w:rPr>
        <w:t>обеспечение деятельности добровольной народной дружины израсходовано 295,7 тыс. рублей, или 100 % годовых бюджетных назначений.</w:t>
      </w:r>
    </w:p>
    <w:p w:rsidR="00EE7CEC" w:rsidRPr="003C44FB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разделу 0400 «Национальная экономика»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 плановых назначений составило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297191,4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рублей.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расходы по данному разделу составили 108391,8 тыс. рублей.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подразделу финансируются следующие подразделы: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0405 «Сельское хозяйство и рыболовство»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A12567" w:rsidRDefault="00EE7CEC" w:rsidP="00EE7C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5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По подразделу расходы исполнены в сумме 607,3 тыс. руб.</w:t>
      </w:r>
      <w:r w:rsidRPr="00A12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счет средств субвенции из областного бюджета).</w:t>
      </w:r>
      <w:r w:rsidRPr="00A12567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Средства израсходованы н</w:t>
      </w:r>
      <w:r w:rsidRPr="00A12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мероприятия по отлову и содержанию животных без владельцев в сумме 387,3 тыс. рублей за счет средств субвенции из областного бюджета, а также на мероприятия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</w:t>
      </w:r>
      <w:r w:rsidRPr="00A125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израсходованы средства в сумме 220,0 тыс. рублей за счет средств субвенции из областного бюджета.</w:t>
      </w:r>
    </w:p>
    <w:p w:rsidR="00EE7CEC" w:rsidRPr="00A12567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A1256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0409 «Дорожное хозяйство (дорожные фонды)»</w:t>
      </w:r>
    </w:p>
    <w:p w:rsidR="00EE7CEC" w:rsidRPr="00A12567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A12567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 подразделу расходы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294396,9</w:t>
      </w:r>
      <w:r w:rsidRPr="00A125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(9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8,8</w:t>
      </w:r>
      <w:r w:rsidRPr="00A12567">
        <w:rPr>
          <w:rFonts w:ascii="Times New Roman" w:eastAsia="Calibri" w:hAnsi="Times New Roman" w:cs="Times New Roman"/>
          <w:sz w:val="24"/>
          <w:szCs w:val="24"/>
          <w:lang w:eastAsia="ar-SA"/>
        </w:rPr>
        <w:t>%) (105695,4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A125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году):</w:t>
      </w:r>
    </w:p>
    <w:p w:rsidR="00EE7CEC" w:rsidRPr="000B4A5F" w:rsidRDefault="00EE7CEC" w:rsidP="00EE7CEC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A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</w:t>
      </w:r>
      <w:r w:rsidRPr="000B4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рамках муниципальной программы </w:t>
      </w:r>
      <w:r w:rsidRPr="000B4A5F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безопасности жизнедеятельности населения городского округа город Михайловка на 2020-2022 годы»</w:t>
      </w:r>
      <w:r w:rsidRPr="000B4A5F">
        <w:rPr>
          <w:rFonts w:ascii="Times New Roman" w:hAnsi="Times New Roman" w:cs="Times New Roman"/>
          <w:sz w:val="24"/>
          <w:szCs w:val="24"/>
        </w:rPr>
        <w:t>на приобретение и содержание специальной техники для обеспечения первичных мер пожарной безопасности в сумме  7 917,3 тыс. рублей, в том числе за счет средств субсидии из областного бюджета 7 896,0 (дорожный фонд)  тыс. рублей;</w:t>
      </w:r>
    </w:p>
    <w:p w:rsidR="00EE7CEC" w:rsidRPr="000B4A5F" w:rsidRDefault="00EE7CEC" w:rsidP="00EE7CEC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A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рамках муниципальной программы по повышению безопасности дорожного движения на территории городского округа  за    2022 год составили 277864,1тыс. рублей, или 98,8%  утвержденных бюджетных назначений (91752,5 тыс. рублей в 2021 году):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субсидии на выполнение муниципального задания АУ «Комбинат благоустройства и озеленения» в сумме 38 306,5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за счет средств областного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37 222,8 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рублей(содержание дорог городской территории 36 793,4 тыс. рублей, обслуживание светофорных объектов 429,4 тыс. рублей);</w:t>
      </w:r>
    </w:p>
    <w:p w:rsidR="00EE7CEC" w:rsidRPr="00333455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целевых субсидий АУ «Комбинат благоустройства и озеленения» на:</w:t>
      </w:r>
    </w:p>
    <w:p w:rsidR="00EE7CEC" w:rsidRPr="00420E6C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автомобильных дорог местного значения, расположенных на сельских территориях в сумме 6 000,0 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автомобильных дорог местного значения г. Михайловка в сумме 275,2 тыс. рублей, в том числе за счет средств областного бюджета 273,3 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асфальтобетонного покрытия по ул. Б. Хмельницкого (от ул. Обороны до ул. Серафимовича) в сумме 8 238,2 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Pr="00420E6C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асфальтобетонного покрытия по ул. Украинской (от дома № 63 до ул. Коммуны) в сумме 4 799,7 тыс. рублей, в том числе за счет средств областного бюджета 4 279,5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приобретение коммунальной техники в сумме 25 000,0 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(дорожный фонд) 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за счет средств областного бюджета;</w:t>
      </w:r>
    </w:p>
    <w:p w:rsidR="00EE7CEC" w:rsidRPr="00420E6C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ремонт асфальтобетонного покрытия автомобильной дороги по ул. Ленина (от ул. Торговая до ул. Блинова) в сумме 9 627,2 тыс. рублей, в том числе за счет средств областного бюджета 9 524,7 </w:t>
      </w:r>
      <w:r w:rsidRPr="00420E6C">
        <w:rPr>
          <w:rFonts w:ascii="Times New Roman" w:eastAsia="Times New Roman" w:hAnsi="Times New Roman" w:cs="Times New Roman"/>
          <w:sz w:val="24"/>
          <w:szCs w:val="24"/>
          <w:lang w:eastAsia="ar-SA"/>
        </w:rPr>
        <w:t>(дорожный фонд)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A5F">
        <w:rPr>
          <w:rFonts w:ascii="Times New Roman" w:eastAsia="Times New Roman" w:hAnsi="Times New Roman" w:cs="Times New Roman"/>
          <w:sz w:val="24"/>
          <w:szCs w:val="24"/>
          <w:lang w:eastAsia="ar-SA"/>
        </w:rPr>
        <w:t>- р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емонт асфальтобетонного покрытия автомобильной дороги по ул. Ленина (от д.180а до ул. Торговая) в сумме 30 802,9 тыс. рублей, в том числе за счет средств областного бюджета 30 475,2</w:t>
      </w:r>
      <w:r w:rsidRPr="000B4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ремонт асфальтобетонного покрытия по автодороге «Завод–Карьер» от 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ул. П. Морозова до ул. Промышленная, ул. Промышленная от автодороги «Завод – Карьер» до ул. Индустриальная, ул. Индустриальная от ул. Промышленная до ул. Тишанская, ул. Тишанская  городского округа город Михайловка Волгоградской области в сумме 153 128,7 тыс. рублей, в том числе за счет средств областного бюджета 151 500,0</w:t>
      </w:r>
      <w:r w:rsidRPr="000B4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(дорожный фонд)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автомобильных дорог на сельских территориях в сумме 485,7 тыс. рублей</w:t>
      </w:r>
      <w:r w:rsidRPr="00EC6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за счет средств областного бюджета </w:t>
      </w:r>
      <w:r w:rsidRPr="00EC611C">
        <w:rPr>
          <w:rFonts w:ascii="Times New Roman" w:eastAsia="Times New Roman" w:hAnsi="Times New Roman" w:cs="Times New Roman"/>
          <w:sz w:val="24"/>
          <w:szCs w:val="24"/>
          <w:lang w:eastAsia="ar-SA"/>
        </w:rPr>
        <w:t>233,1  (дорожный фонд)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устройство бетонного покрытия тротуара от ул. Ясные Зори до ул. Просёлочная-1этап в сумме 600,0 тыс. рублей;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устройство бетонного покрытия тротуара от ул. Просёлочная до ул. Краснодарская-2 этап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600,0 тыс. рублей;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в рамках 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 по развитию транспортной инфраструктуры израсходовано 540,0 тыс. рублей на предоставление целевой субсидии АУ «Комбинат благоустройства и озеленения» на приобретение и ус</w:t>
      </w:r>
      <w:r w:rsidRPr="005E2AC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тановку остановочного павильона;</w:t>
      </w:r>
    </w:p>
    <w:p w:rsidR="00EE7CEC" w:rsidRPr="00333455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реализацию мероприятий в сфере дорожной деятельности с целью организации освещения улично-дорожной сети израсходовано 8 075,5 тыс. рублей, в том числе за счет средств субсидии из областного бюджета 7 994,8</w:t>
      </w:r>
      <w:r w:rsidRPr="005E2AC8">
        <w:rPr>
          <w:rFonts w:ascii="Times New Roman" w:eastAsia="Times New Roman" w:hAnsi="Times New Roman" w:cs="Times New Roman"/>
          <w:sz w:val="24"/>
          <w:szCs w:val="24"/>
          <w:lang w:eastAsia="ar-SA"/>
        </w:rPr>
        <w:t>(дорожный фонд)</w:t>
      </w:r>
      <w:r w:rsidRPr="0033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EE7CEC" w:rsidRPr="002E711F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0412 «Другие вопросы в области национальной экономики»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47339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47339F">
        <w:rPr>
          <w:rFonts w:ascii="Times New Roman" w:eastAsia="Calibri" w:hAnsi="Times New Roman" w:cs="Times New Roman"/>
          <w:sz w:val="24"/>
          <w:szCs w:val="24"/>
          <w:lang w:eastAsia="ar-SA"/>
        </w:rPr>
        <w:t>По подразделу расходы исполнены в сумме 2187,2 тыс. рублей:</w:t>
      </w:r>
    </w:p>
    <w:p w:rsidR="00EE7CEC" w:rsidRPr="0047339F" w:rsidRDefault="00EE7CEC" w:rsidP="00EE7CEC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3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</w:t>
      </w:r>
      <w:r w:rsidRPr="0047339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муниципальной программы «</w:t>
      </w:r>
      <w:r w:rsidRPr="0047339F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безопасности жизнедеятельности населения городского округа город Михайловка на 2020-2022 годы»</w:t>
      </w:r>
      <w:r w:rsidRPr="0047339F">
        <w:rPr>
          <w:rFonts w:ascii="Times New Roman" w:hAnsi="Times New Roman" w:cs="Times New Roman"/>
          <w:sz w:val="24"/>
          <w:szCs w:val="24"/>
        </w:rPr>
        <w:t>в сумме  675,0 тыс. рублей;</w:t>
      </w:r>
    </w:p>
    <w:p w:rsidR="00EE7CEC" w:rsidRPr="0047339F" w:rsidRDefault="00EE7CEC" w:rsidP="00EE7CEC">
      <w:pPr>
        <w:tabs>
          <w:tab w:val="left" w:pos="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39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муниципальной программы по развитию градостроительной документации на территории городского округа направлено 510,0 тыс. рублей на изготовление проекта внесения изменений в Правила землепользования и застройки городского округа город Михайловка Волгоградской области;</w:t>
      </w:r>
    </w:p>
    <w:p w:rsidR="00EE7CEC" w:rsidRPr="0047339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39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поддержку и развитие субъектов малого и среднего предпринимательства в рамках муниципальной программы направлено 346,1 тыс. рублей, что составляет 100 % утвержденного плана;</w:t>
      </w:r>
    </w:p>
    <w:p w:rsidR="00EE7CEC" w:rsidRPr="0047339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39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проведение комплексных кадастровых работ в сумме 656,1 тыс. рублей, в том числе за счет средств облас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тного бюджета 590,5 тыс. рублей.</w:t>
      </w:r>
    </w:p>
    <w:p w:rsidR="00EE7CEC" w:rsidRPr="0047339F" w:rsidRDefault="00EE7CEC" w:rsidP="00EE7CEC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разделу 0500 «Жилищно-коммунальное хозяйство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171882,9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рублей.  (158193,1 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 В целом по разделу, процент выполнения плана по расходам составил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92,9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%.  Доля в общей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структуре расходов составила 7,1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95750"/>
            <wp:effectExtent l="0" t="0" r="19050" b="1905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По разделу финансируются следующие подразделы: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 xml:space="preserve">0501 «Жилищное хозяйство» 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ar-SA"/>
        </w:rPr>
        <w:tab/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5687,7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(1605,8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в том числе: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муниципальной программы «Проведение  капитального ремонта муниципального жилого фонда на территории городского округа город Михайловка Волгоградской области на 2020-2022 годы»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171,0 тыс. рублей;</w:t>
      </w:r>
    </w:p>
    <w:p w:rsidR="00EE7CEC" w:rsidRPr="002D1DAF" w:rsidRDefault="00EE7CEC" w:rsidP="00EE7CEC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рамках муниципальной программы "Переселение граждан из аварийного жилищного фонда на территории городского округа город Михайловка Волгоградской области на 2020-2025 годы"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4334,8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2D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Pr="002D1DA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за счет средств областного бюджета 78,0 тыс. рублей, за счет средств Фонда содействия реформированию ЖКХ 4 248,1 тыс. рублей.  В 2022 году сумма средств были направлены на проведение мероприятий по переселению из аварийного жилья, расположенного по адресу: Волгоградская область, Михайловский район, п. Реконструкция, ул. Ленина, д.20;</w:t>
      </w:r>
    </w:p>
    <w:p w:rsidR="00EE7CEC" w:rsidRPr="002E711F" w:rsidRDefault="00EE7CEC" w:rsidP="00EE7CEC">
      <w:pPr>
        <w:tabs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Непрограммные расходы органов местного самоуправления:</w:t>
      </w:r>
    </w:p>
    <w:p w:rsidR="00EE7CEC" w:rsidRPr="00394E79" w:rsidRDefault="00EE7CEC" w:rsidP="00EE7CEC">
      <w:pPr>
        <w:tabs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E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оказание услуг по техническому обследованию многоквартирных домов – 348,0 тыс. рублей;</w:t>
      </w:r>
    </w:p>
    <w:p w:rsidR="00EE7CEC" w:rsidRPr="00394E79" w:rsidRDefault="00EE7CEC" w:rsidP="00EE7CEC">
      <w:pPr>
        <w:tabs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E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уплату взносов на капитальный ремонт жилищного фонда – 833,9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EE7CEC" w:rsidRPr="00394E79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0502 «Коммунальное хозяйство»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23099,3 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(20278,1тыс.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в том числе:</w:t>
      </w:r>
    </w:p>
    <w:p w:rsidR="00EE7CEC" w:rsidRPr="002E711F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на финансирование мероприятий муниципальной программы  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"Развитие и модернизация объектов коммунальной инфраструктуры городского округа город Михайловка на 2020-2022 годы"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11 561,3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из них направлено средств на:</w:t>
      </w:r>
    </w:p>
    <w:p w:rsidR="00EE7CEC" w:rsidRPr="0027477B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техническое присоединение к электрическим сетям в сумме 196,6 тыс. рублей;</w:t>
      </w:r>
    </w:p>
    <w:p w:rsidR="00EE7CEC" w:rsidRPr="0027477B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погашение кредиторской задолженности за 2021 год по объекту «Система водоотведения по ул. Лазурная в пос. Отрадное» в сумме 740,9 тыс. рублей;</w:t>
      </w:r>
    </w:p>
    <w:p w:rsidR="00EE7CEC" w:rsidRPr="0027477B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проектирование  участка уличного водопровода по ул. Гоголя от ул. Народная до домовладения № 120 по ул. Гоголя в сумме 14,0 тыс. рублей;</w:t>
      </w:r>
    </w:p>
    <w:p w:rsidR="00EE7CEC" w:rsidRPr="0027477B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приобретение и монтаж оборудования для доочистки воды на сельских территориях в сумме 7 944,5 тыс. рублей, в том числе за счет средств субсидии из областного бюджета 7 150,0 тыс. рублей;</w:t>
      </w:r>
    </w:p>
    <w:p w:rsidR="00EE7CEC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увеличение уставного фонда МУП «Михайловское водопроводно-канализационное хозяйство» в сумме 2 665,3 тыс. рублей;</w:t>
      </w:r>
    </w:p>
    <w:p w:rsidR="00EE7CEC" w:rsidRPr="0027477B" w:rsidRDefault="00EE7CEC" w:rsidP="00EE7CEC">
      <w:pPr>
        <w:tabs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финансирование мероприятий муниципальной программы по комплексному развитию сельских территорий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1 180,0 </w:t>
      </w: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Средства направлены на </w:t>
      </w: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разработку проектно-сметной документации на капитальный ремонт системы водоснабжения сельских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Непрограммные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10 358,0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направлены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 исполнение государственных полномочий по компенсации выпадающих доходов ресурсоснабжающих организаций, связанных с применением ими социальных тарифов на коммунальные услуги, поставляемые населению, за счет средств субвенции из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7CEC" w:rsidRPr="002E711F" w:rsidRDefault="00EE7CEC" w:rsidP="00EE7CEC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0503 «Благоустройство»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Расходы по подразделу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132 736,7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(126921,0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 в том числе:</w:t>
      </w:r>
    </w:p>
    <w:p w:rsidR="00EE7CEC" w:rsidRDefault="00EE7CEC" w:rsidP="00EE7CEC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2C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по энергосбережению в сумме 19 627,0 тыс. рублей, в том числе за счет средств дотации из областного бюджета 14 215,3 тыс. рублей;</w:t>
      </w:r>
    </w:p>
    <w:p w:rsidR="00EE7CEC" w:rsidRPr="00083F2C" w:rsidRDefault="00EE7CEC" w:rsidP="00EE7CEC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 финансирование мероприятий муниципальной программы по комплексному развитию сельских территорий израсходовано </w:t>
      </w:r>
      <w:r w:rsidRPr="00083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1 890,0 </w:t>
      </w: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Pr="00083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Средства направлены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Pr="00083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ремонтно-восстановительные работы улично-дорожной сети, расположенной на Сидорской сельской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83F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за счет средств субсидии из областного бюджета 1 400,0 тыс. рублей;</w:t>
      </w:r>
    </w:p>
    <w:p w:rsidR="00EE7CEC" w:rsidRPr="00083F2C" w:rsidRDefault="00EE7CEC" w:rsidP="00EE7C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2C">
        <w:rPr>
          <w:rFonts w:ascii="Times New Roman" w:hAnsi="Times New Roman" w:cs="Times New Roman"/>
          <w:sz w:val="24"/>
          <w:szCs w:val="24"/>
        </w:rPr>
        <w:t>на обеспечение деятельности подведомственного учреждения АУ «Комбинат благоустройства и озеленения» исполнены на 96,7 % и составили 59 184,4 тыс. рублей, в том числе за счет средств дотации из областного бюджета 1 325,0 тыс. рублей, за счет средств субсидии из областного бюджета 13 478,3 тыс. рублей;</w:t>
      </w:r>
    </w:p>
    <w:p w:rsidR="00EE7CEC" w:rsidRPr="00083F2C" w:rsidRDefault="00EE7CEC" w:rsidP="00EE7C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2C">
        <w:rPr>
          <w:rFonts w:ascii="Times New Roman" w:hAnsi="Times New Roman" w:cs="Times New Roman"/>
          <w:sz w:val="24"/>
          <w:szCs w:val="24"/>
        </w:rPr>
        <w:t>на финансирование муниципальной программы «Формирование современной городской среды городского округа» составило 33 306,5 тыс. рублей, или 100,0 % годовых бюджетных назначений, в том числе за счет средств областного бюджета 33 239,9 тыс. рублей. Средства направлены на благоустройство следующих территорий:</w:t>
      </w:r>
    </w:p>
    <w:p w:rsidR="00EE7CEC" w:rsidRPr="00083F2C" w:rsidRDefault="00EE7CEC" w:rsidP="00EE7CE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2C">
        <w:rPr>
          <w:rFonts w:ascii="Times New Roman" w:hAnsi="Times New Roman" w:cs="Times New Roman"/>
          <w:sz w:val="24"/>
          <w:szCs w:val="24"/>
        </w:rPr>
        <w:t>- общественное пространство (проход) от ул. 2-я Краснознаменская до ул. Поперечной;</w:t>
      </w:r>
    </w:p>
    <w:p w:rsidR="00EE7CEC" w:rsidRPr="00083F2C" w:rsidRDefault="00EE7CEC" w:rsidP="00EE7CE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2C">
        <w:rPr>
          <w:rFonts w:ascii="Times New Roman" w:hAnsi="Times New Roman" w:cs="Times New Roman"/>
          <w:sz w:val="24"/>
          <w:szCs w:val="24"/>
        </w:rPr>
        <w:t>- общественное пространство по ул. 2-я Краснознаменская (от магазина Ситилинк до ул. Мичурина);</w:t>
      </w:r>
    </w:p>
    <w:p w:rsidR="00EE7CEC" w:rsidRPr="00083F2C" w:rsidRDefault="00EE7CEC" w:rsidP="00EE7CE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2C">
        <w:rPr>
          <w:rFonts w:ascii="Times New Roman" w:hAnsi="Times New Roman" w:cs="Times New Roman"/>
          <w:sz w:val="24"/>
          <w:szCs w:val="24"/>
        </w:rPr>
        <w:t>- общественное пространство по ул. Обороны в границах проезда Тосовский и ул. Республиканская;</w:t>
      </w:r>
    </w:p>
    <w:p w:rsidR="00EE7CEC" w:rsidRDefault="00EE7CEC" w:rsidP="00EE7CE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F2C">
        <w:rPr>
          <w:rFonts w:ascii="Times New Roman" w:hAnsi="Times New Roman" w:cs="Times New Roman"/>
          <w:sz w:val="24"/>
          <w:szCs w:val="24"/>
        </w:rPr>
        <w:t>- сквер на пересечении ул. Коммуны и ул. Карла Макса 2 этапа.</w:t>
      </w:r>
    </w:p>
    <w:p w:rsidR="00EE7CEC" w:rsidRPr="00083F2C" w:rsidRDefault="00EE7CEC" w:rsidP="00EE7CE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Непрограммные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18 728,8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направлены:</w:t>
      </w:r>
    </w:p>
    <w:p w:rsidR="00EE7CEC" w:rsidRPr="00C6361D" w:rsidRDefault="00EE7CEC" w:rsidP="00EE7CE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361D">
        <w:rPr>
          <w:rFonts w:ascii="Times New Roman" w:hAnsi="Times New Roman" w:cs="Times New Roman"/>
          <w:sz w:val="24"/>
          <w:szCs w:val="24"/>
        </w:rPr>
        <w:t>- на технологическое присоединение к электрическим сетям и оплату кредиторской задолженности за 2021 год за выполнение работ по обустройству контейнерных площадок для сбора ТКО – 517,9 тыс. рублей;</w:t>
      </w:r>
    </w:p>
    <w:p w:rsidR="00EE7CEC" w:rsidRPr="00C6361D" w:rsidRDefault="00EE7CEC" w:rsidP="00EE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1D">
        <w:rPr>
          <w:rFonts w:ascii="Times New Roman" w:hAnsi="Times New Roman" w:cs="Times New Roman"/>
          <w:sz w:val="24"/>
          <w:szCs w:val="24"/>
        </w:rPr>
        <w:t xml:space="preserve">         - на уличное освещение – 16 962,6 тыс. рублей;</w:t>
      </w:r>
    </w:p>
    <w:p w:rsidR="00EE7CEC" w:rsidRPr="00C6361D" w:rsidRDefault="00EE7CEC" w:rsidP="00EE7CEC">
      <w:pPr>
        <w:jc w:val="both"/>
        <w:rPr>
          <w:rFonts w:ascii="Times New Roman" w:hAnsi="Times New Roman" w:cs="Times New Roman"/>
          <w:sz w:val="24"/>
          <w:szCs w:val="24"/>
        </w:rPr>
      </w:pPr>
      <w:r w:rsidRPr="00C6361D">
        <w:rPr>
          <w:rFonts w:ascii="Times New Roman" w:hAnsi="Times New Roman" w:cs="Times New Roman"/>
          <w:sz w:val="24"/>
          <w:szCs w:val="24"/>
        </w:rPr>
        <w:t>- на содержание мест захоронений – 83,0 тыс. рублей;</w:t>
      </w:r>
    </w:p>
    <w:p w:rsidR="00EE7CEC" w:rsidRPr="000259FD" w:rsidRDefault="00EE7CEC" w:rsidP="00EE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59FD">
        <w:rPr>
          <w:rFonts w:ascii="Times New Roman" w:hAnsi="Times New Roman" w:cs="Times New Roman"/>
          <w:sz w:val="24"/>
          <w:szCs w:val="24"/>
        </w:rPr>
        <w:t>на прочие расходы благоустройства – 964,4 тыс. рублей;</w:t>
      </w:r>
    </w:p>
    <w:p w:rsidR="00EE7CEC" w:rsidRPr="000259FD" w:rsidRDefault="00EE7CEC" w:rsidP="00EE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9FD">
        <w:rPr>
          <w:rFonts w:ascii="Times New Roman" w:hAnsi="Times New Roman" w:cs="Times New Roman"/>
          <w:sz w:val="24"/>
          <w:szCs w:val="24"/>
        </w:rPr>
        <w:t>на предоставление целевой субсидии для приобретения стройматериалов на ремонт помещений АУ «Комбинат благоустройства и озеленения» в сумме 200,9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0505 « Другие вопросы в области жилищно-коммунального хозяйства»</w:t>
      </w:r>
    </w:p>
    <w:p w:rsidR="00EE7CEC" w:rsidRPr="002E711F" w:rsidRDefault="00EE7CEC" w:rsidP="00EE7C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 подразделу расходы исполнены в сумме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10 359,2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(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9388,2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году): </w:t>
      </w:r>
    </w:p>
    <w:p w:rsidR="00EE7CEC" w:rsidRPr="007D611D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на реализацию муниципальной программы по содействию занятости населения, </w:t>
      </w:r>
      <w:r w:rsidRPr="007D6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предусмотренные ассигнования выполнены на 100%. Расходы на организацию общественных работ составили  1 486,0 тыс. рублей, </w:t>
      </w:r>
    </w:p>
    <w:p w:rsidR="00EE7CEC" w:rsidRPr="007D611D" w:rsidRDefault="00EE7CEC" w:rsidP="00EE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D611D">
        <w:rPr>
          <w:rFonts w:ascii="Times New Roman" w:hAnsi="Times New Roman" w:cs="Times New Roman"/>
          <w:sz w:val="24"/>
          <w:szCs w:val="24"/>
        </w:rPr>
        <w:t>на организацию и осуществление государственного жилищного надзора за счет средств субвенции из областного бюджета направлено 715,2 тыс. рублей.</w:t>
      </w:r>
    </w:p>
    <w:p w:rsidR="00EE7CEC" w:rsidRPr="007D611D" w:rsidRDefault="00EE7CEC" w:rsidP="00EE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D611D">
        <w:rPr>
          <w:rFonts w:ascii="Times New Roman" w:hAnsi="Times New Roman" w:cs="Times New Roman"/>
          <w:sz w:val="24"/>
          <w:szCs w:val="24"/>
        </w:rPr>
        <w:t xml:space="preserve">на содержание МКУ «ОКС» направлено 8 158,0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 </w:t>
      </w:r>
      <w:r w:rsidRPr="007D611D">
        <w:rPr>
          <w:rFonts w:ascii="Times New Roman" w:hAnsi="Times New Roman" w:cs="Times New Roman"/>
          <w:sz w:val="24"/>
          <w:szCs w:val="24"/>
        </w:rPr>
        <w:t xml:space="preserve"> 83,7 % годовых бюджетных назначений, в том числе за счет средств дотации из областного бюджета 1 685,9 тыс. рублей.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EE7CEC" w:rsidRPr="002E711F" w:rsidRDefault="00EE7CEC" w:rsidP="00EE7CEC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По разделу 0700 «Образование» 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1 424 396,0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 (1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346904,8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 Доля в общей структуре расходов составила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94,6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%. 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noProof/>
          <w:color w:val="1F497D" w:themeColor="text2"/>
          <w:sz w:val="24"/>
          <w:szCs w:val="24"/>
          <w:lang w:eastAsia="ru-RU"/>
        </w:rPr>
        <w:lastRenderedPageBreak/>
        <w:drawing>
          <wp:inline distT="0" distB="0" distL="0" distR="0">
            <wp:extent cx="5486400" cy="3667125"/>
            <wp:effectExtent l="0" t="0" r="19050" b="952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По данному разделу финансируются следующие подразделы: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0701 «Дошкольное образование»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365 497,3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тыс. руб. (93,8%) (536053,8  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 Средства направлены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 том числе:</w:t>
      </w:r>
    </w:p>
    <w:p w:rsidR="00EE7CEC" w:rsidRPr="00E22411" w:rsidRDefault="00EE7CEC" w:rsidP="00EE7C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E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дошкольного образования на территории городского округа город Михайловка Волгоградской области" на 2020-2022 годы  </w:t>
      </w:r>
      <w:r w:rsidRPr="00E22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направлены средства </w:t>
      </w:r>
      <w:r w:rsidRPr="00E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и оснащение детского сада на 220 мест по ул. Республиканской 46а в сумме 50 489,2 </w:t>
      </w:r>
      <w:r w:rsidRPr="00E2241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том числе за счет средств субсидии из областного бюджета 40 009,0 тыс. рублей;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«Пожарная безопасность в общеобразовательных  учреждениях на 2020-2022 годы»направлено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00,0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рублей;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муниципальной программы 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общеобразовательных учреждениях на 2020-2022 годы»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1 124,3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0334A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</w:t>
      </w: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мероприятий муниципальной программы </w:t>
      </w:r>
      <w:r w:rsidRPr="000334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«Совершенствование материально-технической базы образовательных учреждений на 2020-2022 годы»  израсходовано 1 323,5тыс. рублей. Средства направлены на </w:t>
      </w: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оплату кредито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рской задолженности за 2021 год в МКОУ Арчединская СШ, МКОУ Етеревская ККШИ, </w:t>
      </w:r>
      <w:r w:rsidRPr="000334AB">
        <w:rPr>
          <w:rFonts w:ascii="Times New Roman" w:hAnsi="Times New Roman" w:cs="Times New Roman"/>
          <w:sz w:val="24"/>
          <w:szCs w:val="24"/>
        </w:rPr>
        <w:t>приобретение и замену оконных блоков в МБДОУ ДС «Лукоморье»;</w:t>
      </w:r>
    </w:p>
    <w:p w:rsidR="00EE7CEC" w:rsidRPr="002E711F" w:rsidRDefault="00EE7CEC" w:rsidP="00EE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обеспечение деятельности муниципального дошкольного учреждения «Детский сад «Лукоморье»</w:t>
      </w:r>
      <w:r w:rsidRPr="00ED2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реализации ведомственной целевой программы  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годы» направлено 276 163,5 тыс. рублей, в том числе на осуществление образовательного процесса за счет субвенции из областного бюджета -  159 396,2 тыс. рублей, за счет средств дотации из областного бюджета 8 227,6 тыс. рублей, за счет средств резервного фонда Администрации Волгоградской области 93,7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Default="00EE7CEC" w:rsidP="00EE7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на обеспечение деятельности групп дошкольного образования детей при школах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36 196,8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рамках  реализации ведомственной целевой программы «Обеспечение доступности и качества образования для населения городског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 город Михайловка на 2022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годы».</w:t>
      </w:r>
    </w:p>
    <w:p w:rsidR="00EE7CEC" w:rsidRPr="002E711F" w:rsidRDefault="00EE7CEC" w:rsidP="00EE7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0702 «Общее образование»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E711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По подразделу расходы исполнены в сумме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967 541,1</w:t>
      </w:r>
      <w:r w:rsidRPr="002E711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рублей (722966,2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тыс. рублей в 2021</w:t>
      </w:r>
      <w:r w:rsidRPr="002E711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году), в том числе:</w:t>
      </w:r>
    </w:p>
    <w:p w:rsidR="00EE7CEC" w:rsidRPr="004B20F7" w:rsidRDefault="00EE7CEC" w:rsidP="00EE7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дошкольного, общего </w:t>
      </w:r>
      <w:r w:rsidRPr="004B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территории городского округа город Михайловка Волгоградской области" на 2020-2022 -  326 950,8 тыс. рублей (120 038,6 тыс. рублей в 2021 году)</w:t>
      </w:r>
      <w:r w:rsidRPr="004B20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общеобразовательной школы на 250 мест в пос. Отрадное в сумме 326 950,8 </w:t>
      </w:r>
      <w:r w:rsidRPr="004B20F7">
        <w:rPr>
          <w:rFonts w:ascii="Times New Roman" w:hAnsi="Times New Roman" w:cs="Times New Roman"/>
          <w:sz w:val="24"/>
          <w:szCs w:val="24"/>
        </w:rPr>
        <w:t>тыс. рублей, в том числе за счет средств субсидии из областного бюджета 294 870,3 тыс. рублей;</w:t>
      </w:r>
    </w:p>
    <w:p w:rsidR="00EE7CEC" w:rsidRPr="004B20F7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- на реализацию мероприятий муниципальной программы </w:t>
      </w:r>
      <w:r w:rsidRPr="004B20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«Пожарная безопасность в образовательных  учреждениях на 2020-2022 годы» израсходовано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813,6</w:t>
      </w:r>
      <w:r w:rsidRPr="004B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рублей (</w:t>
      </w:r>
      <w:r w:rsidRPr="004B20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420,5 </w:t>
      </w:r>
      <w:r w:rsidRPr="004B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рублей в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B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году)</w:t>
      </w:r>
      <w:r w:rsidRPr="004B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- на реализацию муниципальной программы </w:t>
      </w:r>
      <w:r w:rsidRPr="002E71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«Медицинское обеспечение в образовательных учреждениях на 2020-2022 годы»</w:t>
      </w:r>
      <w:r w:rsidRPr="002E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857,8</w:t>
      </w:r>
      <w:r w:rsidRPr="002E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тыс. рублей (66,4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тыс. рублей в 2021</w:t>
      </w:r>
      <w:r w:rsidRPr="002E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году);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реализацию муниципальной программы "Повышение безопасности и антитеррористической защищенности в образовательных учреждениях" на 2020-2022 годы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80,7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E7CEC" w:rsidRPr="002E711F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мероприятий муниципальной программы по духовно-нравственному воспитанию дет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и подростков израсходовано 2,3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2E711F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мероприятий муниципальной программы по формированию здорового образа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изни обучающихся израсходовано 4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0,0 тыс. рублей на организацию тематических программ, акций конкурсов;</w:t>
      </w:r>
    </w:p>
    <w:p w:rsidR="00EE7CEC" w:rsidRPr="002E711F" w:rsidRDefault="00EE7CEC" w:rsidP="00EE7CEC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-  на реализацию муниципальной программы «</w:t>
      </w:r>
      <w:r w:rsidRPr="002E71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Одаренные дети» на 2020-2022 годы»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израсходовано 28,4</w:t>
      </w:r>
      <w:r w:rsidRPr="002E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тыс. рублей;</w:t>
      </w:r>
    </w:p>
    <w:p w:rsidR="00EE7CEC" w:rsidRPr="000334AB" w:rsidRDefault="00EE7CEC" w:rsidP="00EE7CEC">
      <w:pPr>
        <w:tabs>
          <w:tab w:val="left" w:pos="14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- на реализацию муниципальной программы </w:t>
      </w:r>
      <w:r w:rsidRPr="0003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«Совершенствование материально-технической базы образовательных учреждений на 2020-2022 годы»  израсходовано </w:t>
      </w:r>
      <w:r w:rsidRPr="0003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23 256,0</w:t>
      </w:r>
      <w:r w:rsidRPr="0003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тыс. рублей.</w:t>
      </w: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 направлены на:</w:t>
      </w:r>
    </w:p>
    <w:p w:rsidR="00EE7CEC" w:rsidRPr="000334AB" w:rsidRDefault="00EE7CEC" w:rsidP="00EE7CEC">
      <w:pPr>
        <w:tabs>
          <w:tab w:val="left" w:pos="147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>- электромонтажные работы и установку розеток, изготовление ПСД на выполнение работ по капитальному ремонту, текущий ремонт кабинетов, ремонт электроснабжения, водопровода, канализ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ации, ремонт помещения столовой</w:t>
      </w: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7 283,4</w:t>
      </w: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приобретение и замену оконных блоков в 14 общеобразовательных учреждениях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3 341,1 тыс. рублей;</w:t>
      </w:r>
    </w:p>
    <w:p w:rsidR="00EE7CEC" w:rsidRPr="000334AB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приобретение и замену осветительных приборов в 4 общеобразовательных учреждениях – 1 052,6 тыс. рублей, в том числе за счет средств субсидии из  областного бюджета 1000,0 тыс. рублей;</w:t>
      </w:r>
    </w:p>
    <w:p w:rsidR="00EE7CEC" w:rsidRPr="000334AB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кровли в 6 общеобразовательных учреждениях – 10 526,3 тыс. рублей, в том числе за счет средств субсидии из  областного бюджета 10000,0 тыс. рублей;</w:t>
      </w:r>
    </w:p>
    <w:p w:rsidR="00EE7CEC" w:rsidRPr="00B86A4D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86A4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площадки для проведения праздничных мероприятий в МКОУ «Арчединская СШ» – 1 052,6 тыс. рублей, в том числе за счет средств субсидии из  областн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бюджета 1 000,0 тыс. рублей;</w:t>
      </w:r>
    </w:p>
    <w:p w:rsidR="00EE7CEC" w:rsidRPr="00B14944" w:rsidRDefault="00EE7CEC" w:rsidP="00EE7C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«Организация питания, отдыха и оздоровления обучающихся в муниципальных образовательных учреждениях городского округа город Михайловка на 2020-2022 годы» направлено 73 828,2 тыс. рублей (59726,3 тыс. рублей в 2021 году) из них  за счет средств субвенции из областного бюджета – </w:t>
      </w:r>
      <w:r w:rsidRPr="00B149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16 168,0 тыс. рублей, за счет средств субсидии из областного бюджета 36 780,3 тыс. 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блей;</w:t>
      </w:r>
    </w:p>
    <w:p w:rsidR="00EE7CEC" w:rsidRPr="00645637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на реализацию ведомственной целевой программы «Обеспечение доступности и качества образования для населения городского округа город Михайловка на 2020-2022 годы» направлено 541 668,6 тыс. рублей (518 901,5 тыс. рублей в 2021 году), в </w:t>
      </w:r>
      <w:r w:rsidRPr="00645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 числе  на осуществление образовательного процесса за счет субвенции из областного бюджета -  395 081,6 тыс. рублей, </w:t>
      </w:r>
      <w:r w:rsidRPr="00645637">
        <w:rPr>
          <w:rFonts w:ascii="Times New Roman" w:hAnsi="Times New Roman" w:cs="Times New Roman"/>
          <w:sz w:val="24"/>
          <w:szCs w:val="24"/>
        </w:rPr>
        <w:t>на обеспечение государственных гарантий молодым специалистам, работающим в муниципальных учреждениях, расположенных насельских территориях, за счет средств иных межбюджетных трансфертов из областного бюджета – 104,2 тыс. рублей, на ежемесячное денежное вознаграждение за классное руководство за счет средств иных межбюджетных трансфертов из областного бюджета – 37 784,0 тыс. рублей,</w:t>
      </w:r>
      <w:r w:rsidRPr="00645637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 счет средств дотации из областного бюджета 15 956,5 тыс. рублей.</w:t>
      </w:r>
    </w:p>
    <w:p w:rsidR="00EE7CEC" w:rsidRPr="00012E02" w:rsidRDefault="00EE7CEC" w:rsidP="00EE7CE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Непрограммные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направлены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12E02">
        <w:rPr>
          <w:rFonts w:ascii="Times New Roman" w:eastAsia="Times New Roman" w:hAnsi="Times New Roman" w:cs="Times New Roman"/>
          <w:sz w:val="24"/>
          <w:szCs w:val="24"/>
          <w:lang w:eastAsia="ar-SA"/>
        </w:rPr>
        <w:t>а оплату кредиторской задолженности за 2021 год за оказание услуг по технической защите конфиденциальной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0703 «Дополнительное образование детей»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По подразделу исполнение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59 471,1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(61886,3тыс. рублей в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году):</w:t>
      </w:r>
    </w:p>
    <w:p w:rsidR="00EE7CEC" w:rsidRPr="002E711F" w:rsidRDefault="00EE7CEC" w:rsidP="00EE7CEC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на реализацию муниципальной программы 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укреплению пожарной безопасности образовательных учреждений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израсходовано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3,0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образовательных учреждениях на 2020-2022 годы»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50,0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EE7CEC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муниципальной программы «Поддержка и развитие детского творчества в учреждениях дополнительного образования детей в сфере культуры городского округа город Михайловка на 2020-2022 годы»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29,9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2E711F" w:rsidRDefault="00EE7CEC" w:rsidP="00EE7CEC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мероприятий муниципальной программы по духовно-нравственному воспитанию дет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и подростков израсходовано 29,8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 на реализацию муниципальной программы «</w:t>
      </w:r>
      <w:r w:rsidRPr="002E71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Одаренные дети» на 2020-2022 годы»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израсходовано 14,5</w:t>
      </w:r>
      <w:r w:rsidRPr="002E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на реализацию муниципальной программы «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Комплекс мер по укреплению пожарной безопасности учреждений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сферы культуры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округа город Михайловка, на 2020-2022 годы»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21,9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Pr="002B08FA" w:rsidRDefault="00EE7CEC" w:rsidP="00EE7CEC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в рамках </w:t>
      </w:r>
      <w:r w:rsidRPr="002B08F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ведомственной целевой программы  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2B08FA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B0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 направлено 143,7 тыс. руб.</w:t>
      </w:r>
      <w:r w:rsidRPr="002B08FA">
        <w:rPr>
          <w:rFonts w:ascii="Times New Roman" w:hAnsi="Times New Roman" w:cs="Times New Roman"/>
        </w:rPr>
        <w:t xml:space="preserve"> на дополнительное образование детей финансовой грамотности за счет средств субсидии из областного бюджета; </w:t>
      </w:r>
    </w:p>
    <w:p w:rsidR="00EE7CEC" w:rsidRPr="002B08FA" w:rsidRDefault="00EE7CEC" w:rsidP="00EE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ведомственной целевой программы «Обеспечение доступности и качества образования для населения городского округа город Михайловка на 2022-2024 годы» направлено 58 856,3тыс. рублей (61 535,5 тыс. рублей в 2021 году)  на обеспечение деятельности муниципальных учреждений дополнительного образования, в т.ч. в том числе за счет средств дотации из областного бюджета 9 604,0 тыс. рублей, за счет средств субсидии из областного бюджета 4 730,4 тыс. рублей, </w:t>
      </w:r>
      <w:r w:rsidRPr="002B08FA">
        <w:rPr>
          <w:rFonts w:ascii="Times New Roman" w:hAnsi="Times New Roman" w:cs="Times New Roman"/>
          <w:sz w:val="24"/>
          <w:szCs w:val="24"/>
        </w:rPr>
        <w:t>на дополнительное образование детей финансовой грамотности за счет средств субсидии из областного бюджета 1 762,8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E7CEC" w:rsidRDefault="00EE7CEC" w:rsidP="00EE7CEC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муниципальной программы "Повышение безопасности и антитеррористической защищенности в  муниципальных учреждениях в сфере спорта и молодежной политики" на 2020-2022 годы направлено 15,4 тыс. рублей.</w:t>
      </w:r>
      <w:r w:rsidRPr="002B08F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израсходованы на оплату услуг охраны в МКОУ ДО «СДЮТиЭ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EE7CEC" w:rsidRDefault="00EE7CEC" w:rsidP="00EE7CEC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- на реализацию муниципальной программы «Укрепление и развитие материально – технической базы учреждений культуры и дополнительного образования детей в сфере культуры  городского округа город Михайловка на 2021-2023 годы»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97,8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 Денежные средства были израсходованы на замен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оконных блоков в МБУ ДО «ДШИ»;</w:t>
      </w:r>
    </w:p>
    <w:p w:rsidR="00EE7CEC" w:rsidRDefault="00EE7CEC" w:rsidP="00E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реализацию муниципальной программы "Повышение безопасности и антитеррористической защищенности в   учреждениях сферы культуры 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город Михайловка 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2020-2022» годы направлено 198,8 тыс. рублей.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 израсходованы на приобретение материала для ограждения прилегающей территории  МБУ ДО «ДШИ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EE7CEC" w:rsidRPr="001F30F9" w:rsidRDefault="00EE7CEC" w:rsidP="00E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0705 «Профессиональная подготовка, переподготовка и повышение квалификации»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EC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Расходы по подразделу 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И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зрасходованы средства на профессиональную подготовку, переподготовку и повышение квалификации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EE7CEC" w:rsidRPr="001F30F9" w:rsidRDefault="00EE7CEC" w:rsidP="00EE7CEC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муниципальной службы в городском округе город Михайловка на 2020-2024 годы» 1,8 тыс. рублей;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н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ar-SA"/>
        </w:rPr>
        <w:t>епрограммные расходы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исполнены 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10,8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E7CEC" w:rsidRPr="002E711F" w:rsidRDefault="00EE7CEC" w:rsidP="00EE7C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0707 «Молодежная политика и оздоровление детей»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Расходы по подразделу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31 089,0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(25798,9тыс.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из них: </w:t>
      </w:r>
    </w:p>
    <w:p w:rsidR="00EE7CEC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на реализацию муниципальной программы «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2020-2022 годы»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10,8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EE7CEC" w:rsidRPr="008C6329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</w:t>
      </w:r>
      <w:r w:rsidRPr="008C63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муниципальной программы «Организация питания, отдыха и оздоровления обучающихся в муниципальных образовательных учреждениях городского округа город Михайловка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0-2022 годы» </w:t>
      </w:r>
      <w:r w:rsidRPr="008C63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финансовое обеспечение мероприятий по организации отдыха и оздоровления детей в каникулярный период на базе общеобразовательных учреждений исполнены на 95,8 % и  составили 12 333,5 тыс. рублей, в том числе за счет средств субсидии из областного бюджета 10508,1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Pr="00A83498" w:rsidRDefault="00EE7CEC" w:rsidP="00EE7C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32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финансирование учреждений молодежной политики в рамках ведомственной целевой программы «Молодежь Михайловка»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8C6329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C6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18 664,8 </w:t>
      </w:r>
      <w:r w:rsidRPr="008C6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(15699,5тыс. рублей в 2020 </w:t>
      </w:r>
      <w:r w:rsidRPr="00A8349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году). Средства израсходованы на обеспечение деятельности МБУ ДОЛ «Ленинец» по организации отдыха и оздоровления детей в сумме 6 007,7 тыс. рублей, в том числе за счет средств дотации из областного бюджета 553,5 тыс. рублей и МКУ "Социально-досуговый центр для подростков и молодёжи"  на организацию досуга детей, подростков и молодежи в сумме 12 103,6 тыс. рублей, в том числе за счет средств дотации из областного бюджета 2 191,7 тыс. рублей.</w:t>
      </w:r>
    </w:p>
    <w:p w:rsidR="00EE7CEC" w:rsidRPr="00A83498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ar-SA"/>
        </w:rPr>
        <w:t>епрограммные расходы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исполнены 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79,9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A83498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проведение мероприятия "Школа общественной активности"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7CEC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ar-SA"/>
        </w:rPr>
      </w:pPr>
    </w:p>
    <w:p w:rsidR="00EE7CEC" w:rsidRDefault="00EE7CEC" w:rsidP="00EE7CEC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826D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0709 «Другие вопросы в области образования»</w:t>
      </w:r>
    </w:p>
    <w:p w:rsidR="00EE7CEC" w:rsidRDefault="00EE7CEC" w:rsidP="00EE7CEC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E7CEC" w:rsidRPr="00B826DA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подразделу 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784,9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2B0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B0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ведомственной целевой программы «Обеспечение доступности и качества образования для населения городского округа город Михайловка на 2022-</w:t>
      </w:r>
      <w:r w:rsidRPr="00B82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2024 годы». Средства направлены  </w:t>
      </w:r>
      <w:r w:rsidRPr="00B826DA"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обеспечению деятельности советников </w:t>
      </w:r>
      <w:r w:rsidRPr="00B826DA">
        <w:rPr>
          <w:rFonts w:ascii="Times New Roman" w:hAnsi="Times New Roman" w:cs="Times New Roman"/>
          <w:sz w:val="24"/>
          <w:szCs w:val="24"/>
        </w:rPr>
        <w:lastRenderedPageBreak/>
        <w:t>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826DA">
        <w:rPr>
          <w:rFonts w:ascii="Times New Roman" w:hAnsi="Times New Roman" w:cs="Times New Roman"/>
          <w:sz w:val="24"/>
          <w:szCs w:val="24"/>
        </w:rPr>
        <w:t>784,9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По разделу 0800 «Культура, кинематография»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исполнены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87,2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от  утвержденных плановых назначений, или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98 330,8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(98250,9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в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  Доля в общей структуре расходов составила 4,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%. 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0801 «Культура»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Расходы по подразделу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98 330,8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(98250,9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в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из них: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на реализацию муниципальной программы 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«Комплекс мер по  укреплению пожарной безопасности учреждений культуры и дополнительного образования детей в сфере культуры городского округа город Михайловка»  на 2020-2022 годы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1 261,3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 </w:t>
      </w:r>
    </w:p>
    <w:p w:rsidR="00EE7CEC" w:rsidRPr="00E22B06" w:rsidRDefault="00EE7CEC" w:rsidP="00EE7C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- расходы в рамках ведомственной целевой программы «Сохранение и развитие культуры городского округа город Михайловка на 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</w:t>
      </w:r>
      <w:r w:rsidRPr="00E22B06">
        <w:rPr>
          <w:rFonts w:ascii="Times New Roman" w:eastAsia="Calibri" w:hAnsi="Times New Roman" w:cs="Times New Roman"/>
          <w:sz w:val="24"/>
          <w:szCs w:val="24"/>
          <w:lang w:eastAsia="ar-SA"/>
        </w:rPr>
        <w:t>»  - 95 610,5</w:t>
      </w:r>
      <w:r w:rsidRPr="00E22B0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(</w:t>
      </w:r>
      <w:r w:rsidRPr="00E22B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97 272,8 </w:t>
      </w:r>
      <w:r w:rsidRPr="00E22B0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в 2021 году)</w:t>
      </w:r>
      <w:r w:rsidRPr="00E22B0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22B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Запланированные средства направлены на обеспечение деятельности подведомственны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 учреждений культуры, </w:t>
      </w:r>
      <w:r w:rsidRPr="00E22B0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за счет средств дотации из областного бюджета 16 624,2 тыс. рублей, за счет средств иных межбюджетных трансфертов из областного бюджета 3 356,2 тыс. рублей, что составляет 87,7 % годовых назначений.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на реализацию муниципальной программы «Укрепление и развитие материально-технической базы учреждений культуры городского округа город Михайловка на 2021-2023 годы» -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1 248,9 тыс. рублей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. Денежные средства были израсходованы на:</w:t>
      </w:r>
    </w:p>
    <w:p w:rsidR="00EE7CEC" w:rsidRPr="00BD4A3A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ремонт электрооборудования и приобретение звукового оборудования в МБУК «Выставочный зал»;</w:t>
      </w:r>
    </w:p>
    <w:p w:rsidR="00EE7CEC" w:rsidRPr="00BD4A3A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потолка в Отрадненском СДК;</w:t>
      </w:r>
    </w:p>
    <w:p w:rsidR="00EE7CEC" w:rsidRPr="00BD4A3A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системы отопления в Сидорском СДК;</w:t>
      </w:r>
    </w:p>
    <w:p w:rsidR="00EE7CEC" w:rsidRDefault="00EE7CEC" w:rsidP="00EE7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выплату поощрения лучшим работникам сельских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й;</w:t>
      </w:r>
    </w:p>
    <w:p w:rsidR="00EE7CEC" w:rsidRDefault="00EE7CEC" w:rsidP="00EE7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выплату поощрения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лучшим учреждениям культуры: приобретение звукового оборудования в Совхозный СДК, приобретение оргтехники в Старосельскую библиотеку;</w:t>
      </w:r>
    </w:p>
    <w:p w:rsidR="00EE7CEC" w:rsidRDefault="00EE7CEC" w:rsidP="00EE7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оборудования в Михайловский краеведческий музей;</w:t>
      </w:r>
    </w:p>
    <w:p w:rsidR="00EE7CEC" w:rsidRPr="00BD4A3A" w:rsidRDefault="00EE7CEC" w:rsidP="00EE7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комплектование книжных фондов в МБУК </w:t>
      </w:r>
      <w:r>
        <w:rPr>
          <w:rFonts w:ascii="Times New Roman" w:hAnsi="Times New Roman" w:cs="Times New Roman"/>
          <w:sz w:val="24"/>
          <w:szCs w:val="24"/>
        </w:rPr>
        <w:t>«ЦБС»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Pr="003075DC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по повышению безопасности и антитеррористической защищенности израсходовано 100,0 тыс. рублей. </w:t>
      </w:r>
      <w:r w:rsidRPr="003075DC">
        <w:rPr>
          <w:rFonts w:ascii="Times New Roman" w:hAnsi="Times New Roman" w:cs="Times New Roman"/>
          <w:sz w:val="24"/>
          <w:szCs w:val="24"/>
        </w:rPr>
        <w:t>Средства направлены на монтаж системы видеонаблюдения в МБУК «ЦБС».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Н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ar-SA"/>
        </w:rPr>
        <w:t>епрограммные расходы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исполнены </w:t>
      </w:r>
      <w:r w:rsidRPr="001F30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110,1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E7CEC" w:rsidRPr="002E711F" w:rsidRDefault="00EE7CEC" w:rsidP="00EE7C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разделу 1000 «Социальная политика»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исполнены на 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3,1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 от плановых назначений, или в сумме 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0 968,8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 (108327,7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 Доля в общей структуре расходов составила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%. 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504D" w:themeColor="accent2"/>
          <w:sz w:val="24"/>
          <w:szCs w:val="24"/>
          <w:lang w:eastAsia="ar-SA"/>
        </w:rPr>
      </w:pPr>
      <w:r w:rsidRPr="002E711F">
        <w:rPr>
          <w:rFonts w:ascii="Calibri" w:eastAsia="Calibri" w:hAnsi="Calibri" w:cs="Times New Roman"/>
          <w:b/>
          <w:i/>
          <w:noProof/>
          <w:color w:val="C0504D" w:themeColor="accent2"/>
          <w:sz w:val="24"/>
          <w:szCs w:val="24"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7CEC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1001 «Пенсионное обеспечение»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Расходы по подразделу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10 192,5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руб., на доплаты к пенсиям  муниципальных служащих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99,4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%).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1003 «Социальное обеспечение населения»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Расходы по подразделу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46 160,8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88,2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%), в т. ч.:</w:t>
      </w:r>
    </w:p>
    <w:p w:rsidR="00EE7CEC" w:rsidRPr="002E711F" w:rsidRDefault="00EE7CEC" w:rsidP="00EE7CE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предоставлению жилищных субсидий 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40 802,2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оплате жилья и коммунальных услуг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образовательных учреждений, проживающим и работающим  в сельской местности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3 508,5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B7345B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45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выплата на оказание материальной помощи членам семьи погибшего военнослужащего за счет средств Резервного фонда администрации Волгоградской области в сумме 1 000,0 тыс. рублей.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1004 «Охрана семьи и детства»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Расходы по подразделу исполнены в сумме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38 126,5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6,9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%) (40220,5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из них:</w:t>
      </w:r>
    </w:p>
    <w:p w:rsidR="00EE7CEC" w:rsidRPr="00B7345B" w:rsidRDefault="00EE7CEC" w:rsidP="00EE7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 реализацию муниципальной программы  «Молодой семье - доступное жилье» израсходовано 12 539,5 тыс. рублей, в том числе за счет средств областного бюджета 10 253,3 тыс. рублей. Социальную выплату на приобретение жилья получили 18 молодых семей, нуждающих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 в улучшении жилищных условий;</w:t>
      </w:r>
    </w:p>
    <w:p w:rsidR="00EE7CEC" w:rsidRPr="00B7345B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345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Pr="00B7345B" w:rsidRDefault="00EE7CEC" w:rsidP="00EE7CE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компенсации части родительской платы за содержание ребенка в муниципальных образовательных дошкольных учреждениях 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4 451,7</w:t>
      </w:r>
      <w:r w:rsidRPr="00B73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EE7CEC" w:rsidRPr="00B7345B" w:rsidRDefault="00EE7CEC" w:rsidP="00EE7CE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выплатам на содержание ребенка в семье опекуна и приемной семье и на вознаграждения приемным </w:t>
      </w:r>
      <w:r w:rsidRPr="0033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родителям исполнено </w:t>
      </w:r>
      <w:r w:rsidRPr="00335B8B">
        <w:rPr>
          <w:rFonts w:ascii="Times New Roman" w:hAnsi="Times New Roman" w:cs="Times New Roman"/>
          <w:sz w:val="24"/>
          <w:szCs w:val="24"/>
        </w:rPr>
        <w:t xml:space="preserve">21 083,1 </w:t>
      </w:r>
      <w:r w:rsidRPr="00335B8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(23654,5 тыс</w:t>
      </w:r>
      <w:r w:rsidRPr="00B7345B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рублей в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73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году).</w:t>
      </w:r>
    </w:p>
    <w:p w:rsidR="00EE7CEC" w:rsidRPr="00B7345B" w:rsidRDefault="00EE7CEC" w:rsidP="00EE7CE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CEC" w:rsidRDefault="00EE7CEC" w:rsidP="00EE7CE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34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1006 « Другие вопросы в области социальной политики»</w:t>
      </w:r>
    </w:p>
    <w:p w:rsidR="00EE7CEC" w:rsidRPr="00B7345B" w:rsidRDefault="00EE7CEC" w:rsidP="00EE7CE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E7CEC" w:rsidRPr="00F669B4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по подразделу исполнены в сумме 6 489,0тыс. руб.:</w:t>
      </w:r>
    </w:p>
    <w:p w:rsidR="00EE7CEC" w:rsidRPr="00F669B4" w:rsidRDefault="00EE7CEC" w:rsidP="00EE7CE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9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на содержание аппарата жилищных субсидий -  </w:t>
      </w:r>
      <w:r w:rsidRPr="00F669B4">
        <w:rPr>
          <w:rFonts w:ascii="Times New Roman" w:hAnsi="Times New Roman" w:cs="Times New Roman"/>
          <w:sz w:val="24"/>
          <w:szCs w:val="24"/>
        </w:rPr>
        <w:t xml:space="preserve">3 243,6 </w:t>
      </w:r>
      <w:r w:rsidRPr="00F669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EE7CEC" w:rsidRPr="00F669B4" w:rsidRDefault="00EE7CEC" w:rsidP="00EE7CE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9B4">
        <w:rPr>
          <w:rFonts w:ascii="Times New Roman" w:eastAsia="Times New Roman" w:hAnsi="Times New Roman" w:cs="Times New Roman"/>
          <w:sz w:val="24"/>
          <w:szCs w:val="24"/>
          <w:lang w:eastAsia="ar-SA"/>
        </w:rPr>
        <w:t>-по организации и осуществлению деятельности по опеке и попечительству исполнено 3 245,4 тыс. рублей.</w:t>
      </w:r>
    </w:p>
    <w:p w:rsidR="00EE7CEC" w:rsidRPr="00F669B4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По разделу 1100 «Физическая культура и спорт»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составили 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0 462,9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 исполнены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69,3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от плановых назначений. Доля в общей структуре расходов составила </w:t>
      </w:r>
      <w:r w:rsidRPr="0080529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%.  По данному разделу финансируются следующие подразделы: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1101 «Физическая культура»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Расходы по подразделу исполнены в сумме </w:t>
      </w:r>
      <w:r w:rsidRPr="009A636F">
        <w:rPr>
          <w:rFonts w:ascii="Times New Roman" w:eastAsia="Times New Roman" w:hAnsi="Times New Roman" w:cs="Times New Roman"/>
          <w:sz w:val="24"/>
          <w:szCs w:val="24"/>
          <w:lang w:eastAsia="ru-RU"/>
        </w:rPr>
        <w:t>23 241,7</w:t>
      </w:r>
      <w:r w:rsidRPr="009A636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(92,8%)  (</w:t>
      </w:r>
      <w:r w:rsidRPr="009A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24 169,6 </w:t>
      </w:r>
      <w:r w:rsidRPr="009A636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2021 году)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EE7CEC" w:rsidRPr="009A636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- </w:t>
      </w:r>
      <w:r w:rsidRPr="009A63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рамках муниципальной программы «Развитие массовой физической культуры и спорта городского округа город  Михайловка на 2020-2022 годы»:</w:t>
      </w:r>
    </w:p>
    <w:p w:rsidR="00EE7CEC" w:rsidRPr="00F41CA5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содержание спортивной школы 21 902,1 тыс. рублей, в том числе за счет средств дотации из областного бюджета 3 158,6 тыс. рублей;</w:t>
      </w:r>
    </w:p>
    <w:p w:rsidR="00EE7CEC" w:rsidRDefault="00EE7CEC" w:rsidP="00EE7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3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 целевых субсидий МБУ «Спортивная школа» на проведение мероприятий по развитию массовой физической культуры и видов спорта и на погашение кредиторской задолженности за 2021 год в сумме 1 303,1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7CEC" w:rsidRPr="009A636F" w:rsidRDefault="00EE7CEC" w:rsidP="00EE7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</w:t>
      </w:r>
      <w:r w:rsidRPr="009A63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A63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муниципальной программы по повышению безопасности и антитеррористической защищенности направлено 36,5 тыс. рублей на монтажно-наладочные работы системы видеонаблюдения МБУ «Спортивная школа».</w:t>
      </w:r>
    </w:p>
    <w:p w:rsidR="00EE7CEC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1102 «Массовый спорт»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Расходы по подразделу исполнены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27 221,2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57,0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%) (32303,0 тыс. рублей в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рамках реализации мероприятий муниципальной программы «</w:t>
      </w:r>
      <w:r w:rsidRPr="002E7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Содействие занятости населения в городском округе город Михайловка на 2020-2022 годы»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трудоустройство несовершеннолетних подростков израсходовано 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5,2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рублей;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E7CEC" w:rsidRPr="00A156E0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В рамках муниципальной программы «Развитие массовой физической культуры и спорта городского округа город  Михайловка на 2020-2022 годы» расходы в сумме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24 </w:t>
      </w:r>
      <w:r w:rsidRPr="00A156E0">
        <w:rPr>
          <w:rFonts w:ascii="Times New Roman" w:eastAsia="Calibri" w:hAnsi="Times New Roman" w:cs="Times New Roman"/>
          <w:sz w:val="24"/>
          <w:szCs w:val="24"/>
          <w:lang w:eastAsia="ar-SA"/>
        </w:rPr>
        <w:t>597,5 тыс. рублей  (18 927,8 тыс. рублей в 2020 году) направлены на:</w:t>
      </w:r>
    </w:p>
    <w:p w:rsidR="00EE7CEC" w:rsidRPr="00A156E0" w:rsidRDefault="00EE7CEC" w:rsidP="00EE7CEC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6E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выполнение муниципального задания АУ «Центр физической культуры и спортивный подготовки» 18 981,4 тыс. рублей;</w:t>
      </w:r>
    </w:p>
    <w:p w:rsidR="00EE7CEC" w:rsidRPr="00A156E0" w:rsidRDefault="00EE7CEC" w:rsidP="00EE7CE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предоставление целевых субсидий АУ «Центр физической культуры и спортивный подготовки» на подготовку жителей сельских территорий к участию в соревнованиях, на организацию участия сборных команд городского округа по видам спорта, соревнований, на погашение кредиторской задолженности за 2021 год на организацию и проведение соревнований ГТО различного уровня 2 123,6 тыс. рублей:</w:t>
      </w:r>
    </w:p>
    <w:p w:rsidR="00EE7CEC" w:rsidRPr="00A156E0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6E0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строительство спортивного комплекса для занятий зимними видами спорта в г. Михайловка «Крытый каток с искусственным льдом в сумме 3 492,5 тыс. рублей, в том числе за счет средств субсидии из областного бюджета 2 794,0 тыс. рублей.</w:t>
      </w:r>
    </w:p>
    <w:p w:rsidR="00EE7CEC" w:rsidRPr="00A156E0" w:rsidRDefault="00EE7CEC" w:rsidP="00EE7CE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6E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мероприятий муниципальной программы по комплексному развитию сельских территорий израсходовано 38,5 тыс. рублей на оказание услуг по теплотехническому обследованию объекта "Универсальный спортивный зал в пос. Отрадное».</w:t>
      </w:r>
    </w:p>
    <w:p w:rsidR="00EE7CEC" w:rsidRPr="00A156E0" w:rsidRDefault="00EE7CEC" w:rsidP="00EE7C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предоставление целевой субсидии АУ «Центр физической культуры и спортивный подготовки» </w:t>
      </w:r>
      <w:r w:rsidRPr="00A15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ведомственной целевой программы "Обеспечение доступности и качества образования для населения городского округа город Михайловка" на 2019-2021 годы</w:t>
      </w:r>
      <w:r w:rsidRPr="00A15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проекта по обеспечению системы </w:t>
      </w:r>
      <w:r w:rsidRPr="00A156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персонифицированного финансирования дополнительного образования детей направлено 2 250,0 тыс. рублей.</w:t>
      </w:r>
    </w:p>
    <w:p w:rsidR="00EE7CEC" w:rsidRPr="002E711F" w:rsidRDefault="00EE7CEC" w:rsidP="00EE7CEC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 разделу 1200 «Средства массовой информации» 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расходы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2 854,7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тыс. руб. (2438,4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 в 2021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году), и исполнены на 100 % от утвержденных плановых назначений. 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1202 «Периодическая печать и издательства»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Расходы по подразделу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исполнены на 100 %  и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2 854,7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рублей, в том числе за счет средств </w:t>
      </w:r>
      <w:r w:rsidRPr="00100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областного бюджета </w:t>
      </w:r>
      <w:r w:rsidRPr="0010041D">
        <w:rPr>
          <w:rFonts w:ascii="Times New Roman" w:hAnsi="Times New Roman" w:cs="Times New Roman"/>
          <w:sz w:val="24"/>
          <w:szCs w:val="24"/>
        </w:rPr>
        <w:t xml:space="preserve">154,7 </w:t>
      </w:r>
      <w:r w:rsidRPr="0010041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. Средства были направлены на обеспечение выполнения муниципального задания АУ «Призыв».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разделу 1300 «Обслуживание государственного и муниципального долга»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5 347,5 тыс. рублей.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1301 «</w:t>
      </w:r>
      <w:r w:rsidRPr="002E71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Обслуживание внутреннего государственного и муниципального долга</w:t>
      </w:r>
      <w:r w:rsidRPr="002E71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»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Расходы по подразделу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5 347,5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86,7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ar-SA"/>
        </w:rPr>
        <w:t>%) на уплату процентов за пользование кредитом.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E71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Обобщенная информация об исполнении муниципальных и ведомственных целевых программ, реализац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ия которых осуществлялась в 2022</w:t>
      </w:r>
      <w:r w:rsidRPr="002E71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году</w:t>
      </w: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0"/>
          <w:lang w:eastAsia="ru-RU"/>
        </w:rPr>
      </w:pP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Первоначально бюджет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был принят с перечнем муниципальных программ с объемом ассигнований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940 116,9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В окончательной редакции решения о бюджете плановые ассигнования на реализацию муниципальных программ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972 560,8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32 443,9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больше первоначального показателя. В целом,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все муниципальные программы профинансированы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920 995,0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больше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247 901,9 тыс. рублей, чем в 2021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на реализацию муниципальных программ в общих расходах городского бюджета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38,3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2"/>
        <w:gridCol w:w="2573"/>
        <w:gridCol w:w="2175"/>
        <w:gridCol w:w="1298"/>
        <w:gridCol w:w="1409"/>
        <w:gridCol w:w="1254"/>
      </w:tblGrid>
      <w:tr w:rsidR="00EE7CEC" w:rsidRPr="002E711F" w:rsidTr="00EE7CEC">
        <w:trPr>
          <w:trHeight w:val="48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EE7CEC" w:rsidRPr="002E711F" w:rsidTr="00EE7CEC">
        <w:trPr>
          <w:trHeight w:val="541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</w:t>
            </w:r>
          </w:p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</w:t>
            </w: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</w:t>
            </w:r>
          </w:p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Факт.исполн.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CEC" w:rsidRPr="002E711F" w:rsidTr="00EE7CEC">
        <w:trPr>
          <w:trHeight w:val="128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12 910,9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14 368,0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12 816,8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</w:tr>
      <w:tr w:rsidR="00EE7CEC" w:rsidRPr="002E711F" w:rsidTr="00EE7CEC">
        <w:trPr>
          <w:trHeight w:val="128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городском округе город Михайловка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EE7CEC" w:rsidRPr="002E711F" w:rsidTr="00EE7CEC">
        <w:trPr>
          <w:trHeight w:val="87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235 113,8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281 284,6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277 864,1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EE7CEC" w:rsidRPr="002E711F" w:rsidTr="00EE7CEC">
        <w:trPr>
          <w:trHeight w:val="125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39,2</w:t>
            </w:r>
          </w:p>
        </w:tc>
      </w:tr>
      <w:tr w:rsidR="00EE7CEC" w:rsidRPr="002E711F" w:rsidTr="00EE7CEC">
        <w:trPr>
          <w:trHeight w:val="1128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13 749,1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14 847,3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11 561,3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77,9</w:t>
            </w:r>
          </w:p>
        </w:tc>
      </w:tr>
      <w:tr w:rsidR="00EE7CEC" w:rsidRPr="002E711F" w:rsidTr="00EE7CEC">
        <w:trPr>
          <w:trHeight w:val="988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"Содействие занятости населения в городском округе город Михайловка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1 843,0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1 822,0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1 821,2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EE7CEC" w:rsidRPr="002E711F" w:rsidTr="00EE7CEC">
        <w:trPr>
          <w:trHeight w:val="1128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в образовательных учреждениях"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1 147,4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1 026,6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</w:tr>
      <w:tr w:rsidR="00EE7CEC" w:rsidRPr="002E711F" w:rsidTr="00EE7CEC">
        <w:trPr>
          <w:trHeight w:val="8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"Медицинское обеспечение в образовательных учреждениях" на 2020-2022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3 534,7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2 032,1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57,5</w:t>
            </w:r>
          </w:p>
        </w:tc>
      </w:tr>
      <w:tr w:rsidR="00EE7CEC" w:rsidRPr="002E711F" w:rsidTr="00EE7CEC">
        <w:trPr>
          <w:trHeight w:val="8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 «Повышение безопасности и антитеррористической защищенности в муниципальных учреждениях в сфере спорта и молодежной политики на 2020-2022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EE7CEC" w:rsidRPr="002E711F" w:rsidTr="00EE7CEC">
        <w:trPr>
          <w:trHeight w:val="834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858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16 611,5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24 845,6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24 579,5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EE7CEC" w:rsidRPr="002E711F" w:rsidTr="00EE7CEC">
        <w:trPr>
          <w:trHeight w:val="155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"Комплекс мер по укреплению пожарной безопасности муниципальных бюджетных учреждений, находящихся в ведении </w:t>
            </w: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отдела по спорту и  молодежной политике администрации городского округа город Михайловка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156,1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EE7CEC" w:rsidRPr="002E711F" w:rsidTr="00EE7CEC">
        <w:trPr>
          <w:trHeight w:val="11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Михайловка" на 2020-2022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84 222,9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89 418,0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86 161,7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EE7CEC" w:rsidRPr="002E711F" w:rsidTr="00EE7CEC">
        <w:trPr>
          <w:trHeight w:val="112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1 617,4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1 283,2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79,3</w:t>
            </w:r>
          </w:p>
        </w:tc>
      </w:tr>
      <w:tr w:rsidR="00EE7CEC" w:rsidRPr="002E711F" w:rsidTr="00EE7CEC">
        <w:trPr>
          <w:trHeight w:val="85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массовой физической культуры и спорта на территории городского округа город Михайловка на 2020-2022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203 740,4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70 023,9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47 802,7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EE7CEC" w:rsidRPr="002E711F" w:rsidTr="00EE7CEC">
        <w:trPr>
          <w:trHeight w:val="85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                                    "Энергобережение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19 627,0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21 411,8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19 627,0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«Укрепление и развитие материально-технической базы учреждений культуры и дополнительного образования детей в сфере культуры  городского округа город Михайловка на 2021-2023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2 144,6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1 346,7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транспортной инфраструктуры городского округа город Михайловка Волгоградской области на 2017-2026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городского округа город Михайловка Волгоградской области на 2018-2024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33 306,5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33 306,5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33 306,5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803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3 260,4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3 218,5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3 218,5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«Формирование здорового образа жизни обучающихся в городском округе город Михайловка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«Духовно-нравственное воспитание детей и подростков городского округа город Михайловка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Повышение безопасности и антитеррористической защищенности в учреждениях культуры городского округа город Михайловка Волгоградской области» на 2020-2022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дошкольного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общего</w:t>
            </w: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образования на территории городского округа город Михайловка Волгоградской области город Михайловка Волгоградской области на                  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304 910,3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389 726,0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377 440,0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безопасности и антитеррористической защищенности в образовательных учреждениях городского округа город Михайловка Волгоградской области»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80,7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"Переселение граждан из аварийного жилищного фонда  на территории городского округа город Михайловка Волгоградской области" на 2020-2025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4 334,8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4 334,8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градостроительной деятельности на территории городского округа город Михайловка Волгоградской области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2 000,0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«Информатизация администрации городского округа город  Михайловка Волгоградской области на 2020-2022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EE7CEC" w:rsidRPr="002E711F" w:rsidTr="00EE7CEC">
        <w:trPr>
          <w:trHeight w:val="9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«Молодой семье – доступное жилье» в городском округе город Михайловка Волгоградской области на 2020-2022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2 501,8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12 707,9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12 539,5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EE7CEC" w:rsidRPr="002E711F" w:rsidTr="00EE7CEC">
        <w:trPr>
          <w:trHeight w:val="166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31F82" w:rsidRDefault="00EE7CEC" w:rsidP="00EE7C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1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31F82" w:rsidRDefault="00EE7CEC" w:rsidP="00EE7C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F8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E711F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E7CEC" w:rsidRPr="002E711F" w:rsidTr="00EE7CEC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95C3C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295C3C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5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95C3C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940 116,9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95C3C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972 560,8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95C3C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920 995,0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EC" w:rsidRPr="00295C3C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</w:tr>
    </w:tbl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CEC" w:rsidRPr="00E84314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отчетном году реализовывалось 5 ведомственных целевых программ, на реализацию которых, в 2022 году, направлено, из бюджета городского округа  1 089 523,3 тыс. рублей.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4672"/>
        <w:gridCol w:w="1241"/>
        <w:gridCol w:w="1280"/>
        <w:gridCol w:w="1202"/>
        <w:gridCol w:w="1020"/>
      </w:tblGrid>
      <w:tr w:rsidR="00EE7CEC" w:rsidRPr="00CB7A26" w:rsidTr="00EE7CEC">
        <w:trPr>
          <w:trHeight w:val="466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ведомственной целевой программы </w:t>
            </w:r>
          </w:p>
        </w:tc>
        <w:tc>
          <w:tcPr>
            <w:tcW w:w="1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выполн.</w:t>
            </w:r>
          </w:p>
        </w:tc>
      </w:tr>
      <w:tr w:rsidR="00EE7CEC" w:rsidRPr="00CB7A26" w:rsidTr="00EE7CEC">
        <w:trPr>
          <w:trHeight w:val="91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№ 482</w:t>
            </w:r>
            <w:r w:rsidRPr="00CB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B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Факт.исполн.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CEC" w:rsidRPr="00CB7A26" w:rsidRDefault="00EE7CEC" w:rsidP="00EE7C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CEC" w:rsidRPr="00CB7A26" w:rsidTr="00EE7CEC">
        <w:trPr>
          <w:trHeight w:val="829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"Благоустройство территории городского округа город Михайловка на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22-2024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43 913,6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61 209,7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59 184,4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EE7CEC" w:rsidRPr="00CB7A26" w:rsidTr="00EE7CEC">
        <w:trPr>
          <w:trHeight w:val="1265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296 193,2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295 953,5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276 307,2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EE7CEC" w:rsidRPr="00CB7A26" w:rsidTr="00EE7CEC">
        <w:trPr>
          <w:trHeight w:val="1127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486 187,3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681 952,8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639 756,5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EE7CEC" w:rsidRPr="00CB7A26" w:rsidTr="00EE7CEC">
        <w:trPr>
          <w:trHeight w:val="53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Ведомственная целевая программа "Молодежь Михайловки" на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13 326,0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20 857,6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18 664,8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</w:tr>
      <w:tr w:rsidR="00EE7CEC" w:rsidRPr="00CB7A26" w:rsidTr="00EE7CEC">
        <w:trPr>
          <w:trHeight w:val="853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55 388,9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108 986,8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95 610,4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</w:tr>
      <w:tr w:rsidR="00EE7CEC" w:rsidRPr="00CB7A26" w:rsidTr="00EE7CEC">
        <w:trPr>
          <w:trHeight w:val="406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7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895 009,0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1 168 960,4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1 089 523,3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EC" w:rsidRPr="00CB7A26" w:rsidRDefault="00EE7CEC" w:rsidP="00EE7C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93,2</w:t>
            </w:r>
          </w:p>
        </w:tc>
      </w:tr>
    </w:tbl>
    <w:p w:rsidR="00EE7CEC" w:rsidRPr="002E711F" w:rsidRDefault="00EE7CEC" w:rsidP="00EE7CEC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EE7CEC" w:rsidRPr="002E711F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EE7CEC" w:rsidRPr="00D526D5" w:rsidRDefault="00EE7CEC" w:rsidP="00EE7CE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6D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Исполнение судебных решений по взысканиям к бюджету </w:t>
      </w:r>
    </w:p>
    <w:p w:rsidR="00EE7CEC" w:rsidRPr="00D526D5" w:rsidRDefault="00EE7CEC" w:rsidP="00EE7CEC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467"/>
        <w:gridCol w:w="1980"/>
        <w:gridCol w:w="1656"/>
        <w:gridCol w:w="1423"/>
        <w:gridCol w:w="1609"/>
        <w:gridCol w:w="977"/>
      </w:tblGrid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 п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№ дела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Наименование организации, Ф.И.О. взыскателя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Номер испол. листа, дата поступления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Наименование судебного органа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Пени, недоимка, оплата услуг представителя, проценты, убытки, и др., руб.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Гос. пошлина, руб.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2-1614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2022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Кучугурин А.А.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043521270 09.11.2022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Ущерб 176 100,0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Экспертиза 7000,0, представитель в суде 10000,0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4 722,0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2-1131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Полосухин Д.О.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 043521011 25.10.2022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Ущерб 98 800,0  судебные расходы 19 500,0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2-36-777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2022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Мирзоян С.С.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 094297966 11.11.2022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Мировой судья судебного участка №36 Волгоградской области Ковтун В.А.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Услуги представителя в суде 5000,0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2-36-916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2022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Мирзоян С.С.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 094297967 11.11.2022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Мировой судья судебного участка №36 Волгоградской области Ковтун В.А.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Услуги представителя в суде 9000,0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2-898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2022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Гречишникова О.И.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043521151 01.12.2022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Неосновательное обогащение 191 290,08, проценты за пользование чужими ден. средствами 13777,71,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5251,00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13-581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2022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Гречишникова О.И.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043521352 01.12..2022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Судебные расходы 15150,0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2-34-256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Горина С.И.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 094297815 12.09.2022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Мировой судья судебного участка №34 Волгоградской области Моисеев М.Н.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Ущерб 45000,0 экспертиза 4000,0 услуги представителя в суде 10000,0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1609,25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2-17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Павлов В.Н.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040187052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02.09.2022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Ущерб  175559, экспертиза 10000,0 услуги представителя в суде 10000,0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4711,0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2-810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Михайлова К.Н.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040187242 13.07.2022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Ущерб 77100,0, экспертиза 5500, услуги нотариуса 1600,0, услуги представителя 10000,0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2 678,0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2-2317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Бирюков Д.С.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025754054 09.09.2022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Центральный районный суд города Волгограда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Ущерб 303963,77 экспертиза 10000,0 оплата телеграммы 275,1, услуги представителя 10000,0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6341,0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№А-12-19768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Пикина О.В.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036327469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19.05.2022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Неосновательное обогащение  17576,59, проценты за пользование ден. средствами 3590,07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№5-34-268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Комитет по обеспечению деятельности мировых судей Волгоградской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Постановление от 27.10.2022 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01.11.2022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Мировой судья судебного участка №34 Волгоградской области Моисеев М.Н.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Штраф 70000,0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№12-179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2021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Управление Россельхознадзора по Ростовской, Волгоградской и Астраханской обл.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Решение от 21.12.2021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17.01.2022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Штраф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00000,0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(уменьшение 200000,0, оплачено 200000,0)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5-34-18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Облкомюстиции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Постановление от 08.02.2022 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16.02.2022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Мировой судья судебного участка №34 Волгоградской области Моисеев М.Н.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Штраф 190000,0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2-236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МРО судебных приставов ГУ ФССП по Волгоградской обл.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Постановление 304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22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34018-АП от 30.09.2022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13.10.2022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Михайловское районное отделение судебных приставов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Штраф 30000,0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А12-7421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036318738 26.01.2022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Судебные расходы 2180,0,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2-211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МРО судебных приставов ГУ ФССП по Волгоградской обл.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Постановление 282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22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34018-АП от 29.07.2022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02.08.2022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Михайловское районное отделение судебных приставов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Штраф 30000,0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2-1571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МРО судебных приставов ГУ ФССП по Волгоградской обл.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Постановление 281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22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34018-АП от 29.07.2022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02.08.2022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Михайловское районное отделение судебных приставов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Штраф 30000,0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12-8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МРО судебных приставов ГУ ФССП по Волгоградской обл.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Постановление от 09.11.2021, решение от 18.01.2022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02.08.2022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Михайловское районное отделение судебных приставов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Штраф 30000,0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№5-34-108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Отдел МВД России по городу Михайловке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Постановление от 19.04.2022 12.07.2022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Мировой судья судебного участка №34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Штраф 200000,0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А12-4681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ООО Газпром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межрегионгаз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038526974 30.11.2022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пени 1658,61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1858,0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А12-9458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ПАО Ростелеком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036331865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03.08.2022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64 399,0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А12-1377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22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ПАО Волгоград энергосбыт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036325500 19.04.2022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2000,0 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А12-1176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ПАО Волгоград энергосбыт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ФС036324054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№2-262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Волгоградской отделение №8621 ПАО Сбербанк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035316976 25.01.2022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Задолженность 890968,99 (оплата 369768,99)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А12-7417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036317455 25.01.2022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Судебные расходы 5000,0, почтовые расходы 180,0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А12-16251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Межрайонная ИФНС России по Центральному району г. Волгоград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036333614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16.11.2022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А12-28666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Филиал ФГУП Охрана Росгвардии по Волгоградской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Судебный приказ А12-28666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08.12.2022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пени 2185,53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А12-11208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ГБУЗ Михайловская ЦРБ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036336670 23.11.2022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Неустойка 4500,0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А12-1661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/ 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№6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036328265 13.10.2022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3621,0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А12-14166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№6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C036334903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13.10.2022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32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А12-2332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№6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ФС 036328269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13.10.2022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А12-8070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038524518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28.10.2022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А12-1666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№6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036329192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06.10.2022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6057,0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А12-2335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№6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036329006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06.10.2022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4295,32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А12-14580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№6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ФС036332632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16.09.2022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А12-4682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ООО Газпром межрегионгаз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036331029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04.07.2022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Неустойка 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765,53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А12-4683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ООО Газпром межрегионгаз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036330833 04.07.2022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Пени 2690,11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108,0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А12-35818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ООО Ситиматик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036325572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26.04.2022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неустойка 5555,26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А12-1176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ПАО Волгоградэнергосбыт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036324054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04.04.2022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А12-1377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ПАО Волгоградэнергосбыт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036325500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19.04.2022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2-1420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райотдел УФССП России по 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Решение от 11.08.2021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А12-16912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036314362 21.01.2022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А12-933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034965405 21.01.2022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АБГЮ00001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Перечисление подотчет на оплату госпошлины от 01.02.2022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АБГЮ00001 от 07.02.2022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А12-3040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036309879 20.01.2022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А12-7420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036307146 20.01.2022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А12-1790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036306461 20.01.2022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А12-5925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036305015 21.01.2022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А12-5925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036317454 26.01.2022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Судебные расходы 5000,0, почтовые расходы 304,0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А12-7424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036318737 27.01.2022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Судебные расходы 2180,0,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А12-3552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036318710 26.01.2022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Судебные расходы 5000,0, почтовые расходы 272,0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А12-7418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036318728 25.01.2022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Судебные расходы 3267,0,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А12-7416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036319184 25.01.2022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Судебные расходы 3270,0,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А12-7422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036318709 26.01.2022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Судебные расходы 5000,0, почтовые расходы 149,0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56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А12-7423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036318729 25.01.2022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Судебные расходы 3267,0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А12-3260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ИП Крупнова Ю.В.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036317338 25.01.2022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Судебные расходы 4752,0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А12-37038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2021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ООО Ситиматик-Волгоград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036336446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Неустойка 3583,19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960,0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2493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38513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34018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-ип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райотдел УФССП России по 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Постановление от 27.04.2021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штраф 50000,0</w:t>
            </w:r>
          </w:p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(не оплачено)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2а-908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райотдел УФССП России по 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Решение от 11.06.2021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штраф 50000,0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12-9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райотдел УФССП России по 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Постановление от 09.11.2021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Штраф 30000,0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2-378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УФССП России по 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Постановление 256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34018-АП от 24.06.2022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Штраф 30000,0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E5ADE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А12-23340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ПАО Ростелеком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А12-23340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 от 05.09.2022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30259D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А12-12450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03633213707.07.2022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FA543D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А12-2337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 от 04.04.2022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036332537 11.07.2022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FA543D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А12-1668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 от 05.04.2022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036328267 11.07.2022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356409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А12-1662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036328016 11.07.2022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68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A36B5D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А12-3573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036331911 05.07.2022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4972,0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7C45B8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А12-1670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036331786 04.07.2022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3580,0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1C757E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А12-1669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036328018 12.05.2022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1C757E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А12-1667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036329853 12.05.2022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5771,0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2493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А12-12501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036331964 06.07.2022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2493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А12-2338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Межрайонная ИФНС России по Центральному району г. Волгоград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036328270 16.05.2022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500,0</w:t>
            </w: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8B3F72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А12-8514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ООО Стройдорком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ФС 038527578</w:t>
            </w:r>
          </w:p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От 15.12.2022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Арбитражный суд Волгоградской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Экспертиза 350000,0 (не оплачено)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C04B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2а-503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райотдел УФССП России по 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Апелляционное определение от 19.01.2022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Решение от 19.05.2021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Исполнительский сбор 50000,0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E7CEC" w:rsidRPr="00D526D5" w:rsidTr="00EE7CEC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2E12DE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185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34018-АП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УФССП России по 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185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34018-АП от 28.10.2021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Pr="00D526D5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526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Михайловский районный суд 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Штраф 50000,0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C" w:rsidRDefault="00EE7CEC" w:rsidP="00EE7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EE7CEC" w:rsidRPr="00D526D5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EC" w:rsidRPr="0089289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2022 году обращено взыскание на средства бюджета городского округа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3 4</w:t>
      </w: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>14 494,11 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(исполнено в 2022 году 2 8</w:t>
      </w: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14 494,11 рублей).Из них задолженность по кредитному договору - </w:t>
      </w:r>
      <w:r w:rsidRPr="0089289F">
        <w:rPr>
          <w:rFonts w:ascii="Times New Roman" w:eastAsia="Calibri" w:hAnsi="Times New Roman" w:cs="Times New Roman"/>
          <w:sz w:val="24"/>
          <w:szCs w:val="24"/>
          <w:lang w:eastAsia="ar-SA"/>
        </w:rPr>
        <w:t>369 768,99</w:t>
      </w: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рублей,государственная пошлина –154 183,57 руб., оплата юридических услуг, услуг представителя в суде, адвоката, иные судебные расходы – 139 166,0 рублей, ущерб  –  876 522,77 руб., неустойка, пени, проценты за пользование денежными средствами 38306,01рублей, расходы на экспертизу 386 500,0 рублей, неосновательное обогащение 208 866,67 рублей, штраф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1 2</w:t>
      </w: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>40 000,0 рублей, почтовые расходы 1 180,1 рублей. Фактически указанные расходы относятся к неэффективным расходам бюджета городского округа город Михайловка, поскольку не направлены на решение вопросов местного значения.</w:t>
      </w:r>
    </w:p>
    <w:p w:rsidR="00EE7CEC" w:rsidRPr="0089289F" w:rsidRDefault="00EE7CEC" w:rsidP="00EE7CEC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Следует отметить ежегодное увеличение суммы неэффективных расходов, которые не отвечают принципу эффективности использования бюджетных средств, определенному ст. 34 БК РФ.</w:t>
      </w:r>
    </w:p>
    <w:p w:rsidR="00EE7CEC" w:rsidRPr="0089289F" w:rsidRDefault="00EE7CEC" w:rsidP="00EE7CEC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CEC" w:rsidRDefault="00EE7CEC" w:rsidP="00EE7CEC">
      <w:pPr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Calibri"/>
          <w:b/>
          <w:sz w:val="24"/>
          <w:szCs w:val="24"/>
          <w:lang w:eastAsia="ar-SA"/>
        </w:rPr>
        <w:t>Выводы:</w:t>
      </w:r>
    </w:p>
    <w:p w:rsidR="0045515D" w:rsidRPr="0028324F" w:rsidRDefault="0045515D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В соответствии со ст.264.4 БК РФ и п.3 ст. 23  положения о бюджетном процессе, отчет об исполнении бюджета городского округа город Михайловка за 20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22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представлен Администрацией в Михайловскую городскую Думу  в установленный срок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30.03.2023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года.</w:t>
      </w:r>
    </w:p>
    <w:p w:rsidR="0045515D" w:rsidRPr="00425BF2" w:rsidRDefault="0045515D" w:rsidP="0045515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283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Ежеквартальные сведения о ходе исполнения местного  бюджета и о численности муниципальных служащих, работниках муниципальных учреждений с указанием фактических затрат на их денежное содержание опубликованы в газете </w:t>
      </w:r>
      <w:r w:rsidRPr="00F36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«Призыв» </w:t>
      </w:r>
      <w:r w:rsidRPr="00686A72">
        <w:rPr>
          <w:rFonts w:ascii="Times New Roman" w:eastAsia="Times New Roman" w:hAnsi="Times New Roman" w:cs="Times New Roman"/>
          <w:sz w:val="24"/>
          <w:szCs w:val="24"/>
          <w:lang w:eastAsia="ar-SA"/>
        </w:rPr>
        <w:t>№33 (17929) от 26.04.2022 г., «Призыв» № 67 (17963) от 23.08.2022 г., «Призыв» № 87 (17983) от 01.11.2022 г.</w:t>
      </w:r>
    </w:p>
    <w:p w:rsidR="0045515D" w:rsidRPr="0028324F" w:rsidRDefault="0045515D" w:rsidP="0045515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          </w:t>
      </w:r>
      <w:r w:rsidRPr="0028324F">
        <w:rPr>
          <w:rFonts w:ascii="Times New Roman" w:eastAsia="Calibri" w:hAnsi="Times New Roman" w:cs="Calibri"/>
          <w:iCs/>
          <w:sz w:val="24"/>
          <w:szCs w:val="24"/>
          <w:lang w:eastAsia="ar-SA"/>
        </w:rPr>
        <w:t>Анализ соблюдения бюджетного законодательства при организации исполнения бюджета городского округа город Михайловка в 20</w:t>
      </w:r>
      <w:r>
        <w:rPr>
          <w:rFonts w:ascii="Times New Roman" w:eastAsia="Calibri" w:hAnsi="Times New Roman" w:cs="Calibri"/>
          <w:iCs/>
          <w:sz w:val="24"/>
          <w:szCs w:val="24"/>
          <w:lang w:eastAsia="ar-SA"/>
        </w:rPr>
        <w:t>22</w:t>
      </w:r>
      <w:r w:rsidRPr="0028324F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году установил, что система исполнения бюджета городского округа соответствует требованиям действующего законодательства. Годовой отчет об исполнении бюджета за 20</w:t>
      </w:r>
      <w:r>
        <w:rPr>
          <w:rFonts w:ascii="Times New Roman" w:eastAsia="Calibri" w:hAnsi="Times New Roman" w:cs="Calibri"/>
          <w:iCs/>
          <w:sz w:val="24"/>
          <w:szCs w:val="24"/>
          <w:lang w:eastAsia="ar-SA"/>
        </w:rPr>
        <w:t>22</w:t>
      </w:r>
      <w:r w:rsidRPr="0028324F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год по составу и предоставлению соответствует установленным требованиям.</w:t>
      </w:r>
    </w:p>
    <w:p w:rsidR="0045515D" w:rsidRPr="0028324F" w:rsidRDefault="0045515D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Бюджет городского округа город Михайловка по доходам за 202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 в сумме 2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402593,2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в том числе по налоговым и неналоговым доходам в сумме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838106,2 тыс. рублей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по безвозмездным поступлениям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1564487,0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 Расходы в 202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составили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240775</w:t>
      </w:r>
      <w:r w:rsidR="00950419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,4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45515D" w:rsidRDefault="0045515D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Решением Думы на 2022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утвержден изначально бездефицитный бюджет. </w:t>
      </w:r>
      <w:r w:rsidRPr="004C2812">
        <w:rPr>
          <w:rFonts w:ascii="Times New Roman" w:eastAsia="Calibri" w:hAnsi="Times New Roman" w:cs="Calibri"/>
          <w:sz w:val="24"/>
          <w:szCs w:val="24"/>
          <w:lang w:eastAsia="ar-SA"/>
        </w:rPr>
        <w:t>Фактически  бюджет городского округа за 2022 год исполнен с дефицитом  в сумме 5166,2 тыс. рублей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. Источниками финансирования дефицита бюджета явил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сь  остатк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 </w:t>
      </w:r>
      <w:r w:rsidRPr="00425BF2">
        <w:rPr>
          <w:rFonts w:ascii="Times New Roman" w:eastAsia="Calibri" w:hAnsi="Times New Roman" w:cs="Calibri"/>
          <w:sz w:val="24"/>
          <w:szCs w:val="24"/>
          <w:lang w:eastAsia="ar-SA"/>
        </w:rPr>
        <w:t>средств на счетах бюджета городского округа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45515D" w:rsidRPr="0028324F" w:rsidRDefault="0045515D" w:rsidP="0045515D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На формирование резервного фонда в бюджете городского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на 2022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 первоначально предусматривались средства в сумме 500,0 тыс. рублей</w:t>
      </w:r>
      <w:r w:rsidRPr="0028324F">
        <w:rPr>
          <w:rFonts w:ascii="Times New Roman" w:hAnsi="Times New Roman" w:cs="Times New Roman"/>
          <w:sz w:val="24"/>
          <w:szCs w:val="24"/>
          <w:shd w:val="clear" w:color="auto" w:fill="FFFFFF"/>
        </w:rPr>
        <w:t>. Размер лимитов резервного фонда соответствовал требованиям п.3 ст.81 БК РФ и не  превышал 3 процентов утвержденного решениями Михайловской городской Думы общего объема расходов.</w:t>
      </w:r>
    </w:p>
    <w:p w:rsidR="0045515D" w:rsidRPr="0028324F" w:rsidRDefault="0045515D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состоянию на 1 января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и на 1 января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задолженности по бюджетным кредитам нет. Остаток муниципального долга на 01.01.202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59218</w:t>
      </w:r>
      <w:r w:rsidRPr="0042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,3 </w:t>
      </w: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 w:rsidRPr="00F272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515D" w:rsidRPr="0028324F" w:rsidRDefault="0045515D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Бюджетные кредиты из бюджета городског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о округа город Михайловка в 2022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не выдавались.</w:t>
      </w:r>
    </w:p>
    <w:p w:rsidR="0045515D" w:rsidRDefault="0045515D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Муниципальные гарантии городского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 в 2022</w:t>
      </w:r>
      <w:r w:rsidRPr="0028324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юридическим лицам не предоставлялись.</w:t>
      </w:r>
    </w:p>
    <w:p w:rsidR="0045515D" w:rsidRPr="004C2812" w:rsidRDefault="0045515D" w:rsidP="0045515D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</w:t>
      </w:r>
      <w:r w:rsidRPr="00A34EA4">
        <w:rPr>
          <w:rFonts w:ascii="Times New Roman" w:hAnsi="Times New Roman" w:cs="Calibri"/>
          <w:sz w:val="24"/>
          <w:szCs w:val="24"/>
          <w:lang w:eastAsia="ar-SA"/>
        </w:rPr>
        <w:t>Кредиторская задолженность составляет на 01.01.2023г. 136051,0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тыс. рублей</w:t>
      </w:r>
      <w:r w:rsidRPr="00A34EA4">
        <w:rPr>
          <w:rFonts w:ascii="Times New Roman" w:hAnsi="Times New Roman" w:cs="Calibri"/>
          <w:sz w:val="24"/>
          <w:szCs w:val="24"/>
          <w:lang w:eastAsia="ar-SA"/>
        </w:rPr>
        <w:t xml:space="preserve"> (увеличилась на 13399,1 тыс. руб</w:t>
      </w:r>
      <w:r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A34EA4">
        <w:rPr>
          <w:rFonts w:ascii="Times New Roman" w:hAnsi="Times New Roman" w:cs="Calibri"/>
          <w:sz w:val="24"/>
          <w:szCs w:val="24"/>
          <w:lang w:eastAsia="ar-SA"/>
        </w:rPr>
        <w:t>.) Просроченная кредиторская задолженность составила 50108,1 тыс. руб</w:t>
      </w:r>
      <w:r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A34EA4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45515D">
        <w:rPr>
          <w:rFonts w:ascii="Times New Roman" w:hAnsi="Times New Roman" w:cs="Calibri"/>
          <w:sz w:val="24"/>
          <w:szCs w:val="24"/>
          <w:lang w:eastAsia="ar-SA"/>
        </w:rPr>
        <w:t xml:space="preserve">Вся сумма просроченной задолженности приходится на задолженность по принятым обязательствам.   </w:t>
      </w:r>
    </w:p>
    <w:p w:rsidR="0045515D" w:rsidRPr="00AE7662" w:rsidRDefault="0045515D" w:rsidP="0045515D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</w:t>
      </w:r>
      <w:r>
        <w:rPr>
          <w:rFonts w:ascii="Times New Roman" w:hAnsi="Times New Roman" w:cs="Calibri"/>
          <w:sz w:val="24"/>
          <w:szCs w:val="24"/>
          <w:lang w:eastAsia="ar-SA"/>
        </w:rPr>
        <w:t>Д</w:t>
      </w:r>
      <w:r w:rsidRPr="00AE7662">
        <w:rPr>
          <w:rFonts w:ascii="Times New Roman" w:hAnsi="Times New Roman" w:cs="Calibri"/>
          <w:sz w:val="24"/>
          <w:szCs w:val="24"/>
          <w:lang w:eastAsia="ar-SA"/>
        </w:rPr>
        <w:t>ебиторская задолженность увеличилась на 87943,9 тыс. руб</w:t>
      </w:r>
      <w:r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AE7662">
        <w:rPr>
          <w:rFonts w:ascii="Times New Roman" w:hAnsi="Times New Roman" w:cs="Calibri"/>
          <w:sz w:val="24"/>
          <w:szCs w:val="24"/>
          <w:lang w:eastAsia="ar-SA"/>
        </w:rPr>
        <w:t xml:space="preserve"> или на 2,9%. Просроченная дебиторская задолженность уменьшилась на 22812,9 тыс. руб</w:t>
      </w:r>
      <w:r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AE7662">
        <w:rPr>
          <w:rFonts w:ascii="Times New Roman" w:hAnsi="Times New Roman" w:cs="Calibri"/>
          <w:sz w:val="24"/>
          <w:szCs w:val="24"/>
          <w:lang w:eastAsia="ar-SA"/>
        </w:rPr>
        <w:t xml:space="preserve"> или 20,9%  и составила 86333,9 тыс. руб</w:t>
      </w:r>
      <w:r>
        <w:rPr>
          <w:rFonts w:ascii="Times New Roman" w:hAnsi="Times New Roman" w:cs="Calibri"/>
          <w:sz w:val="24"/>
          <w:szCs w:val="24"/>
          <w:lang w:eastAsia="ar-SA"/>
        </w:rPr>
        <w:t>лей</w:t>
      </w:r>
      <w:r w:rsidRPr="00AE7662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EE7CEC" w:rsidRPr="002E711F" w:rsidRDefault="00EE7CEC" w:rsidP="00EE7C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Кассовые расходы бюджета городского округа исполнены на 93,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уточненного плана и составили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2 407 759,4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 муниципальные программы профинансированы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920 995,0</w:t>
      </w:r>
      <w:r w:rsidR="0045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EE7CEC" w:rsidRPr="002E711F" w:rsidRDefault="00EE7CEC" w:rsidP="00EE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eastAsia="ru-RU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на реализацию муниципальных программ в общих расходах городского бюджета в 2021 году составила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отчетном году реализовывалось 5 ведомственных целевых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на реализацию которых, в 2022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направлено, из бюджета городского округа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1 089 523,3</w:t>
      </w:r>
      <w:r w:rsidRPr="002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E7CEC" w:rsidRPr="0030367B" w:rsidRDefault="00EE7CEC" w:rsidP="00EE7CE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Постановлением Администрации Волгоградской обл.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13</w:t>
      </w:r>
      <w:r w:rsidRPr="002E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Pr="002E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2№4</w:t>
      </w:r>
      <w:r w:rsidRPr="002E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-п 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год" установлен норматив в размере </w:t>
      </w:r>
      <w:r>
        <w:rPr>
          <w:rFonts w:ascii="Times New Roman" w:hAnsi="Times New Roman" w:cs="Times New Roman"/>
          <w:sz w:val="24"/>
          <w:szCs w:val="24"/>
        </w:rPr>
        <w:t xml:space="preserve">102 026,0 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рублей. Согласно отчету об исполнении бюджета за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E71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год, расходы на содержание органов местного самоуправления городского округа не превышают установленный норматив. Рекомендация устанавливать расходы на содержание представительного органа местного самоуправления и контрольно-счетного органа в совокупности в объеме, не превышающем 7 процентов норматива на содержание органов местного самоуправления выполняется.</w:t>
      </w:r>
    </w:p>
    <w:p w:rsidR="00EE7CEC" w:rsidRPr="0089289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2022 году обращено взыскание на средства бюджета городского округа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3 4</w:t>
      </w: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>14 494,11 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(исполнено в 2022 году 2 8</w:t>
      </w: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14 494,11 рублей). Из них задолженность по кредитному договору -  </w:t>
      </w:r>
      <w:r w:rsidRPr="0089289F">
        <w:rPr>
          <w:rFonts w:ascii="Times New Roman" w:eastAsia="Calibri" w:hAnsi="Times New Roman" w:cs="Times New Roman"/>
          <w:sz w:val="24"/>
          <w:szCs w:val="24"/>
          <w:lang w:eastAsia="ar-SA"/>
        </w:rPr>
        <w:t>369 768,99</w:t>
      </w: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государственная пошлина – 154 183,57 руб., оплата юридических услуг, услуг представителя в суде, адвоката, иные судебные расходы – 139 166,0 рублей, ущерб  –  876 522,77 руб., неустойка, пени, проценты за пользование денежными средствами  38306,01 рублей, расходы на экспертизу 386 500,0 рублей, неосновательное обогащение 208 866,67 рублей, штраф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1 2</w:t>
      </w:r>
      <w:r w:rsidRPr="0089289F">
        <w:rPr>
          <w:rFonts w:ascii="Times New Roman" w:eastAsia="Times New Roman" w:hAnsi="Times New Roman" w:cs="Times New Roman"/>
          <w:sz w:val="24"/>
          <w:szCs w:val="24"/>
          <w:lang w:eastAsia="ru-RU"/>
        </w:rPr>
        <w:t>40 000,0 рублей, почтовые расходы 1 180,1 рублей. Фактически указанные расходы относятся к неэффективным расходам бюджета городского округа город Михайловка, поскольку не направлены на решение вопросов местного значения.</w:t>
      </w:r>
    </w:p>
    <w:p w:rsidR="00EE7CEC" w:rsidRPr="002E711F" w:rsidRDefault="00EE7CEC" w:rsidP="00EE7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20" w:rsidRPr="0028324F" w:rsidRDefault="00026420" w:rsidP="00026420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026420" w:rsidRPr="00425BF2" w:rsidRDefault="00026420" w:rsidP="00026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B5" w:rsidRDefault="004C2812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КСК                                                                         </w:t>
      </w:r>
      <w:r w:rsidR="0045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Н.А. Тазова</w:t>
      </w:r>
    </w:p>
    <w:p w:rsidR="004C2812" w:rsidRDefault="0045515D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4C2812" w:rsidSect="004A3E8A">
      <w:headerReference w:type="default" r:id="rId2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DA" w:rsidRDefault="00002FDA" w:rsidP="00E26113">
      <w:pPr>
        <w:spacing w:after="0" w:line="240" w:lineRule="auto"/>
      </w:pPr>
      <w:r>
        <w:separator/>
      </w:r>
    </w:p>
  </w:endnote>
  <w:endnote w:type="continuationSeparator" w:id="1">
    <w:p w:rsidR="00002FDA" w:rsidRDefault="00002FDA" w:rsidP="00E2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DA" w:rsidRDefault="00002FDA" w:rsidP="00E26113">
      <w:pPr>
        <w:spacing w:after="0" w:line="240" w:lineRule="auto"/>
      </w:pPr>
      <w:r>
        <w:separator/>
      </w:r>
    </w:p>
  </w:footnote>
  <w:footnote w:type="continuationSeparator" w:id="1">
    <w:p w:rsidR="00002FDA" w:rsidRDefault="00002FDA" w:rsidP="00E2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968608"/>
      <w:docPartObj>
        <w:docPartGallery w:val="Page Numbers (Top of Page)"/>
        <w:docPartUnique/>
      </w:docPartObj>
    </w:sdtPr>
    <w:sdtContent>
      <w:p w:rsidR="00313348" w:rsidRDefault="00A35324">
        <w:pPr>
          <w:pStyle w:val="a4"/>
          <w:jc w:val="center"/>
        </w:pPr>
        <w:fldSimple w:instr="PAGE   \* MERGEFORMAT">
          <w:r w:rsidR="00950419">
            <w:rPr>
              <w:noProof/>
            </w:rPr>
            <w:t>50</w:t>
          </w:r>
        </w:fldSimple>
      </w:p>
    </w:sdtContent>
  </w:sdt>
  <w:p w:rsidR="00313348" w:rsidRDefault="003133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2"/>
        </w:tabs>
        <w:ind w:left="62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4"/>
        </w:tabs>
        <w:ind w:left="8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8"/>
        </w:tabs>
        <w:ind w:left="14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70"/>
        </w:tabs>
        <w:ind w:left="16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56"/>
        </w:tabs>
        <w:ind w:left="245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3">
    <w:nsid w:val="033B1D08"/>
    <w:multiLevelType w:val="hybridMultilevel"/>
    <w:tmpl w:val="DC46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42C5"/>
    <w:multiLevelType w:val="hybridMultilevel"/>
    <w:tmpl w:val="995A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F3E7E"/>
    <w:multiLevelType w:val="multilevel"/>
    <w:tmpl w:val="64101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DB4ED3"/>
    <w:multiLevelType w:val="multilevel"/>
    <w:tmpl w:val="841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A296C"/>
    <w:multiLevelType w:val="hybridMultilevel"/>
    <w:tmpl w:val="65F4B66E"/>
    <w:lvl w:ilvl="0" w:tplc="49E8C4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DC32DBE"/>
    <w:multiLevelType w:val="hybridMultilevel"/>
    <w:tmpl w:val="52AE32EE"/>
    <w:lvl w:ilvl="0" w:tplc="14AC6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0EA62E6C"/>
    <w:multiLevelType w:val="hybridMultilevel"/>
    <w:tmpl w:val="BCD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83EC3"/>
    <w:multiLevelType w:val="hybridMultilevel"/>
    <w:tmpl w:val="C7EE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5567D"/>
    <w:multiLevelType w:val="hybridMultilevel"/>
    <w:tmpl w:val="742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30577"/>
    <w:multiLevelType w:val="hybridMultilevel"/>
    <w:tmpl w:val="0A54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A1E4C"/>
    <w:multiLevelType w:val="hybridMultilevel"/>
    <w:tmpl w:val="3B34AD02"/>
    <w:lvl w:ilvl="0" w:tplc="6AC6C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65833"/>
    <w:multiLevelType w:val="hybridMultilevel"/>
    <w:tmpl w:val="DB3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A0F5930"/>
    <w:multiLevelType w:val="hybridMultilevel"/>
    <w:tmpl w:val="96B4168E"/>
    <w:lvl w:ilvl="0" w:tplc="AD7031D8">
      <w:start w:val="40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C3939"/>
    <w:multiLevelType w:val="hybridMultilevel"/>
    <w:tmpl w:val="ED5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050D9"/>
    <w:multiLevelType w:val="hybridMultilevel"/>
    <w:tmpl w:val="288A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B042A"/>
    <w:multiLevelType w:val="hybridMultilevel"/>
    <w:tmpl w:val="390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00A5B"/>
    <w:multiLevelType w:val="hybridMultilevel"/>
    <w:tmpl w:val="40D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E7264"/>
    <w:multiLevelType w:val="hybridMultilevel"/>
    <w:tmpl w:val="B69E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46CBC"/>
    <w:multiLevelType w:val="hybridMultilevel"/>
    <w:tmpl w:val="BB7AA7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856B3"/>
    <w:multiLevelType w:val="hybridMultilevel"/>
    <w:tmpl w:val="5E64A524"/>
    <w:lvl w:ilvl="0" w:tplc="C9FEA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03A0F"/>
    <w:multiLevelType w:val="hybridMultilevel"/>
    <w:tmpl w:val="0ABAE520"/>
    <w:lvl w:ilvl="0" w:tplc="1076D9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DF5EAB"/>
    <w:multiLevelType w:val="hybridMultilevel"/>
    <w:tmpl w:val="1B3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B7D17"/>
    <w:multiLevelType w:val="hybridMultilevel"/>
    <w:tmpl w:val="E4D0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536F7"/>
    <w:multiLevelType w:val="hybridMultilevel"/>
    <w:tmpl w:val="9BB860EC"/>
    <w:lvl w:ilvl="0" w:tplc="2996B014">
      <w:start w:val="40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23B72"/>
    <w:multiLevelType w:val="hybridMultilevel"/>
    <w:tmpl w:val="62023AD4"/>
    <w:lvl w:ilvl="0" w:tplc="86A26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8F32BA"/>
    <w:multiLevelType w:val="hybridMultilevel"/>
    <w:tmpl w:val="365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057F4"/>
    <w:multiLevelType w:val="multilevel"/>
    <w:tmpl w:val="F68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84000"/>
    <w:multiLevelType w:val="hybridMultilevel"/>
    <w:tmpl w:val="C3A4F72C"/>
    <w:lvl w:ilvl="0" w:tplc="1332D5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D20D0"/>
    <w:multiLevelType w:val="hybridMultilevel"/>
    <w:tmpl w:val="76341938"/>
    <w:lvl w:ilvl="0" w:tplc="A3E0588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2437854"/>
    <w:multiLevelType w:val="hybridMultilevel"/>
    <w:tmpl w:val="507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C3D52"/>
    <w:multiLevelType w:val="hybridMultilevel"/>
    <w:tmpl w:val="D1B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05EFB"/>
    <w:multiLevelType w:val="hybridMultilevel"/>
    <w:tmpl w:val="D72AE622"/>
    <w:lvl w:ilvl="0" w:tplc="77BA7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E3D0D"/>
    <w:multiLevelType w:val="hybridMultilevel"/>
    <w:tmpl w:val="A15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90FFC"/>
    <w:multiLevelType w:val="hybridMultilevel"/>
    <w:tmpl w:val="D90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F69A9"/>
    <w:multiLevelType w:val="hybridMultilevel"/>
    <w:tmpl w:val="051C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D5626"/>
    <w:multiLevelType w:val="hybridMultilevel"/>
    <w:tmpl w:val="E06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91720"/>
    <w:multiLevelType w:val="multilevel"/>
    <w:tmpl w:val="99A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6E5691"/>
    <w:multiLevelType w:val="hybridMultilevel"/>
    <w:tmpl w:val="CBD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14F2F"/>
    <w:multiLevelType w:val="hybridMultilevel"/>
    <w:tmpl w:val="13F2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26BB4"/>
    <w:multiLevelType w:val="hybridMultilevel"/>
    <w:tmpl w:val="A1581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33"/>
  </w:num>
  <w:num w:numId="9">
    <w:abstractNumId w:val="43"/>
  </w:num>
  <w:num w:numId="10">
    <w:abstractNumId w:val="5"/>
  </w:num>
  <w:num w:numId="11">
    <w:abstractNumId w:val="21"/>
  </w:num>
  <w:num w:numId="12">
    <w:abstractNumId w:val="11"/>
  </w:num>
  <w:num w:numId="13">
    <w:abstractNumId w:val="10"/>
  </w:num>
  <w:num w:numId="14">
    <w:abstractNumId w:val="20"/>
  </w:num>
  <w:num w:numId="15">
    <w:abstractNumId w:val="7"/>
  </w:num>
  <w:num w:numId="16">
    <w:abstractNumId w:val="9"/>
  </w:num>
  <w:num w:numId="17">
    <w:abstractNumId w:val="18"/>
  </w:num>
  <w:num w:numId="18">
    <w:abstractNumId w:val="41"/>
  </w:num>
  <w:num w:numId="19">
    <w:abstractNumId w:val="24"/>
  </w:num>
  <w:num w:numId="20">
    <w:abstractNumId w:val="19"/>
  </w:num>
  <w:num w:numId="21">
    <w:abstractNumId w:val="26"/>
  </w:num>
  <w:num w:numId="22">
    <w:abstractNumId w:val="25"/>
  </w:num>
  <w:num w:numId="23">
    <w:abstractNumId w:val="17"/>
  </w:num>
  <w:num w:numId="24">
    <w:abstractNumId w:val="42"/>
  </w:num>
  <w:num w:numId="25">
    <w:abstractNumId w:val="22"/>
  </w:num>
  <w:num w:numId="26">
    <w:abstractNumId w:val="38"/>
  </w:num>
  <w:num w:numId="27">
    <w:abstractNumId w:val="29"/>
  </w:num>
  <w:num w:numId="28">
    <w:abstractNumId w:val="27"/>
  </w:num>
  <w:num w:numId="29">
    <w:abstractNumId w:val="16"/>
  </w:num>
  <w:num w:numId="30">
    <w:abstractNumId w:val="12"/>
  </w:num>
  <w:num w:numId="31">
    <w:abstractNumId w:val="37"/>
  </w:num>
  <w:num w:numId="32">
    <w:abstractNumId w:val="15"/>
  </w:num>
  <w:num w:numId="33">
    <w:abstractNumId w:val="31"/>
  </w:num>
  <w:num w:numId="34">
    <w:abstractNumId w:val="23"/>
  </w:num>
  <w:num w:numId="35">
    <w:abstractNumId w:val="36"/>
  </w:num>
  <w:num w:numId="36">
    <w:abstractNumId w:val="32"/>
  </w:num>
  <w:num w:numId="37">
    <w:abstractNumId w:val="39"/>
  </w:num>
  <w:num w:numId="38">
    <w:abstractNumId w:val="28"/>
  </w:num>
  <w:num w:numId="39">
    <w:abstractNumId w:val="14"/>
  </w:num>
  <w:num w:numId="40">
    <w:abstractNumId w:val="34"/>
  </w:num>
  <w:num w:numId="41">
    <w:abstractNumId w:val="8"/>
  </w:num>
  <w:num w:numId="42">
    <w:abstractNumId w:val="30"/>
  </w:num>
  <w:num w:numId="43">
    <w:abstractNumId w:val="6"/>
  </w:num>
  <w:num w:numId="44">
    <w:abstractNumId w:val="3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FA4"/>
    <w:rsid w:val="00000D28"/>
    <w:rsid w:val="00001F57"/>
    <w:rsid w:val="0000248F"/>
    <w:rsid w:val="000028E4"/>
    <w:rsid w:val="00002FDA"/>
    <w:rsid w:val="000033B1"/>
    <w:rsid w:val="000037C2"/>
    <w:rsid w:val="0000424C"/>
    <w:rsid w:val="0000437F"/>
    <w:rsid w:val="000054CA"/>
    <w:rsid w:val="000075C8"/>
    <w:rsid w:val="00010A70"/>
    <w:rsid w:val="00011A4C"/>
    <w:rsid w:val="00012587"/>
    <w:rsid w:val="00013649"/>
    <w:rsid w:val="00013D31"/>
    <w:rsid w:val="000140B3"/>
    <w:rsid w:val="00014483"/>
    <w:rsid w:val="00014BF9"/>
    <w:rsid w:val="000200FA"/>
    <w:rsid w:val="0002124F"/>
    <w:rsid w:val="00022C16"/>
    <w:rsid w:val="0002348E"/>
    <w:rsid w:val="00023563"/>
    <w:rsid w:val="00023D7C"/>
    <w:rsid w:val="00023FCC"/>
    <w:rsid w:val="00024A1A"/>
    <w:rsid w:val="00025ECE"/>
    <w:rsid w:val="00026420"/>
    <w:rsid w:val="000264FC"/>
    <w:rsid w:val="00030684"/>
    <w:rsid w:val="00031752"/>
    <w:rsid w:val="00033B07"/>
    <w:rsid w:val="00034E93"/>
    <w:rsid w:val="00035B99"/>
    <w:rsid w:val="00035F15"/>
    <w:rsid w:val="000372D8"/>
    <w:rsid w:val="00037354"/>
    <w:rsid w:val="00040151"/>
    <w:rsid w:val="00040E3F"/>
    <w:rsid w:val="00041923"/>
    <w:rsid w:val="00042540"/>
    <w:rsid w:val="000439F1"/>
    <w:rsid w:val="0004506E"/>
    <w:rsid w:val="00045544"/>
    <w:rsid w:val="000457E4"/>
    <w:rsid w:val="000464E7"/>
    <w:rsid w:val="000504AE"/>
    <w:rsid w:val="000508B1"/>
    <w:rsid w:val="00050C3C"/>
    <w:rsid w:val="00051057"/>
    <w:rsid w:val="000538F1"/>
    <w:rsid w:val="00056E3A"/>
    <w:rsid w:val="000570ED"/>
    <w:rsid w:val="00057D15"/>
    <w:rsid w:val="000607BE"/>
    <w:rsid w:val="0006119A"/>
    <w:rsid w:val="00061C94"/>
    <w:rsid w:val="00061FD6"/>
    <w:rsid w:val="000629C4"/>
    <w:rsid w:val="00063427"/>
    <w:rsid w:val="00063488"/>
    <w:rsid w:val="000637A4"/>
    <w:rsid w:val="00063AA8"/>
    <w:rsid w:val="00064F56"/>
    <w:rsid w:val="00066892"/>
    <w:rsid w:val="00066913"/>
    <w:rsid w:val="00066CC7"/>
    <w:rsid w:val="00067C08"/>
    <w:rsid w:val="00072DED"/>
    <w:rsid w:val="00073194"/>
    <w:rsid w:val="000740F0"/>
    <w:rsid w:val="00076426"/>
    <w:rsid w:val="00076D6B"/>
    <w:rsid w:val="00076EAF"/>
    <w:rsid w:val="00077663"/>
    <w:rsid w:val="00080270"/>
    <w:rsid w:val="00080C10"/>
    <w:rsid w:val="00082439"/>
    <w:rsid w:val="00083FA4"/>
    <w:rsid w:val="00084E52"/>
    <w:rsid w:val="000859B4"/>
    <w:rsid w:val="00085C30"/>
    <w:rsid w:val="00087129"/>
    <w:rsid w:val="00090E14"/>
    <w:rsid w:val="0009196B"/>
    <w:rsid w:val="00092A9D"/>
    <w:rsid w:val="000954FB"/>
    <w:rsid w:val="000955E2"/>
    <w:rsid w:val="000965B6"/>
    <w:rsid w:val="00096EB9"/>
    <w:rsid w:val="000A0522"/>
    <w:rsid w:val="000A081A"/>
    <w:rsid w:val="000A2A46"/>
    <w:rsid w:val="000A4B69"/>
    <w:rsid w:val="000A4BAB"/>
    <w:rsid w:val="000A554C"/>
    <w:rsid w:val="000A6668"/>
    <w:rsid w:val="000A6FB9"/>
    <w:rsid w:val="000A70EC"/>
    <w:rsid w:val="000A73CB"/>
    <w:rsid w:val="000A778C"/>
    <w:rsid w:val="000A7804"/>
    <w:rsid w:val="000A799E"/>
    <w:rsid w:val="000B04C3"/>
    <w:rsid w:val="000B2CD2"/>
    <w:rsid w:val="000B3913"/>
    <w:rsid w:val="000B3E57"/>
    <w:rsid w:val="000B4424"/>
    <w:rsid w:val="000B5009"/>
    <w:rsid w:val="000B5636"/>
    <w:rsid w:val="000B6045"/>
    <w:rsid w:val="000B6A90"/>
    <w:rsid w:val="000B6D2F"/>
    <w:rsid w:val="000B7E6D"/>
    <w:rsid w:val="000C0BE0"/>
    <w:rsid w:val="000C1ABE"/>
    <w:rsid w:val="000C3661"/>
    <w:rsid w:val="000C4AFB"/>
    <w:rsid w:val="000C551C"/>
    <w:rsid w:val="000C7157"/>
    <w:rsid w:val="000C7C94"/>
    <w:rsid w:val="000D1988"/>
    <w:rsid w:val="000D20EA"/>
    <w:rsid w:val="000D214A"/>
    <w:rsid w:val="000D2496"/>
    <w:rsid w:val="000D2FD9"/>
    <w:rsid w:val="000D33C1"/>
    <w:rsid w:val="000D38B2"/>
    <w:rsid w:val="000D3DC5"/>
    <w:rsid w:val="000D6C43"/>
    <w:rsid w:val="000D6EB4"/>
    <w:rsid w:val="000E20B7"/>
    <w:rsid w:val="000E4D61"/>
    <w:rsid w:val="000E7250"/>
    <w:rsid w:val="000E7660"/>
    <w:rsid w:val="000E78FB"/>
    <w:rsid w:val="000F1520"/>
    <w:rsid w:val="000F180D"/>
    <w:rsid w:val="000F1E3C"/>
    <w:rsid w:val="000F4EFE"/>
    <w:rsid w:val="000F5D13"/>
    <w:rsid w:val="000F60F2"/>
    <w:rsid w:val="000F6636"/>
    <w:rsid w:val="000F7058"/>
    <w:rsid w:val="000F730C"/>
    <w:rsid w:val="001029C2"/>
    <w:rsid w:val="00103C66"/>
    <w:rsid w:val="001044AF"/>
    <w:rsid w:val="001049BE"/>
    <w:rsid w:val="00105700"/>
    <w:rsid w:val="00105F57"/>
    <w:rsid w:val="00106334"/>
    <w:rsid w:val="00106A12"/>
    <w:rsid w:val="0011169A"/>
    <w:rsid w:val="0011291F"/>
    <w:rsid w:val="00112B7C"/>
    <w:rsid w:val="0011311D"/>
    <w:rsid w:val="00114516"/>
    <w:rsid w:val="00117EAB"/>
    <w:rsid w:val="0012144F"/>
    <w:rsid w:val="00122A03"/>
    <w:rsid w:val="00123249"/>
    <w:rsid w:val="00125926"/>
    <w:rsid w:val="00130296"/>
    <w:rsid w:val="00130B76"/>
    <w:rsid w:val="0013203F"/>
    <w:rsid w:val="00132752"/>
    <w:rsid w:val="0013310D"/>
    <w:rsid w:val="00135D52"/>
    <w:rsid w:val="0013636B"/>
    <w:rsid w:val="00136393"/>
    <w:rsid w:val="001373A3"/>
    <w:rsid w:val="001405F5"/>
    <w:rsid w:val="001406CC"/>
    <w:rsid w:val="0014085F"/>
    <w:rsid w:val="001416FC"/>
    <w:rsid w:val="00141EA5"/>
    <w:rsid w:val="001444C9"/>
    <w:rsid w:val="00144E47"/>
    <w:rsid w:val="001451AF"/>
    <w:rsid w:val="00147083"/>
    <w:rsid w:val="0014744D"/>
    <w:rsid w:val="0015053C"/>
    <w:rsid w:val="001512CD"/>
    <w:rsid w:val="00152131"/>
    <w:rsid w:val="00156321"/>
    <w:rsid w:val="00160897"/>
    <w:rsid w:val="00161666"/>
    <w:rsid w:val="00161BE3"/>
    <w:rsid w:val="0016228E"/>
    <w:rsid w:val="00162E0B"/>
    <w:rsid w:val="00163141"/>
    <w:rsid w:val="00163730"/>
    <w:rsid w:val="001638B4"/>
    <w:rsid w:val="001641D8"/>
    <w:rsid w:val="001649D9"/>
    <w:rsid w:val="001653BF"/>
    <w:rsid w:val="00165BA1"/>
    <w:rsid w:val="00166347"/>
    <w:rsid w:val="001703BF"/>
    <w:rsid w:val="00170840"/>
    <w:rsid w:val="00172BEE"/>
    <w:rsid w:val="00172E1A"/>
    <w:rsid w:val="00173569"/>
    <w:rsid w:val="001742C0"/>
    <w:rsid w:val="001742C6"/>
    <w:rsid w:val="001749B7"/>
    <w:rsid w:val="00175B54"/>
    <w:rsid w:val="00176709"/>
    <w:rsid w:val="00177FB8"/>
    <w:rsid w:val="00182179"/>
    <w:rsid w:val="001828DF"/>
    <w:rsid w:val="00183648"/>
    <w:rsid w:val="0018447D"/>
    <w:rsid w:val="00184BEF"/>
    <w:rsid w:val="00185419"/>
    <w:rsid w:val="00185A98"/>
    <w:rsid w:val="001861C3"/>
    <w:rsid w:val="001864A1"/>
    <w:rsid w:val="00187679"/>
    <w:rsid w:val="0019152A"/>
    <w:rsid w:val="00191DEE"/>
    <w:rsid w:val="001922A7"/>
    <w:rsid w:val="001927E4"/>
    <w:rsid w:val="001942B8"/>
    <w:rsid w:val="001948F7"/>
    <w:rsid w:val="00195929"/>
    <w:rsid w:val="001964E7"/>
    <w:rsid w:val="001966F2"/>
    <w:rsid w:val="00196777"/>
    <w:rsid w:val="001969C3"/>
    <w:rsid w:val="001970CD"/>
    <w:rsid w:val="00197E21"/>
    <w:rsid w:val="001A02C2"/>
    <w:rsid w:val="001A046F"/>
    <w:rsid w:val="001A0516"/>
    <w:rsid w:val="001A0F2B"/>
    <w:rsid w:val="001A20F4"/>
    <w:rsid w:val="001A4B92"/>
    <w:rsid w:val="001A4FE8"/>
    <w:rsid w:val="001A5429"/>
    <w:rsid w:val="001A5BB2"/>
    <w:rsid w:val="001A73D8"/>
    <w:rsid w:val="001A757A"/>
    <w:rsid w:val="001B0B1C"/>
    <w:rsid w:val="001B0E13"/>
    <w:rsid w:val="001B1521"/>
    <w:rsid w:val="001B1ED6"/>
    <w:rsid w:val="001B27C1"/>
    <w:rsid w:val="001B3159"/>
    <w:rsid w:val="001B3E77"/>
    <w:rsid w:val="001B4F9F"/>
    <w:rsid w:val="001B5626"/>
    <w:rsid w:val="001B563F"/>
    <w:rsid w:val="001B5A7E"/>
    <w:rsid w:val="001B6538"/>
    <w:rsid w:val="001C0215"/>
    <w:rsid w:val="001C19E4"/>
    <w:rsid w:val="001C23B9"/>
    <w:rsid w:val="001C263A"/>
    <w:rsid w:val="001C2E2B"/>
    <w:rsid w:val="001C31AF"/>
    <w:rsid w:val="001C793E"/>
    <w:rsid w:val="001C7BD8"/>
    <w:rsid w:val="001C7DB4"/>
    <w:rsid w:val="001C7FB3"/>
    <w:rsid w:val="001D0025"/>
    <w:rsid w:val="001D00B2"/>
    <w:rsid w:val="001D07CD"/>
    <w:rsid w:val="001D08EF"/>
    <w:rsid w:val="001D1427"/>
    <w:rsid w:val="001D1483"/>
    <w:rsid w:val="001D16BD"/>
    <w:rsid w:val="001D1966"/>
    <w:rsid w:val="001D2101"/>
    <w:rsid w:val="001D453D"/>
    <w:rsid w:val="001D50AB"/>
    <w:rsid w:val="001D5392"/>
    <w:rsid w:val="001D56A9"/>
    <w:rsid w:val="001D5B22"/>
    <w:rsid w:val="001D6132"/>
    <w:rsid w:val="001E1736"/>
    <w:rsid w:val="001E19F6"/>
    <w:rsid w:val="001E1BB0"/>
    <w:rsid w:val="001E22B2"/>
    <w:rsid w:val="001E401D"/>
    <w:rsid w:val="001E454C"/>
    <w:rsid w:val="001E4EFC"/>
    <w:rsid w:val="001E66EE"/>
    <w:rsid w:val="001E7081"/>
    <w:rsid w:val="001E78F5"/>
    <w:rsid w:val="001E7B82"/>
    <w:rsid w:val="001F3488"/>
    <w:rsid w:val="001F354B"/>
    <w:rsid w:val="001F3EFE"/>
    <w:rsid w:val="001F3FAA"/>
    <w:rsid w:val="001F41E2"/>
    <w:rsid w:val="001F4842"/>
    <w:rsid w:val="001F604F"/>
    <w:rsid w:val="001F6323"/>
    <w:rsid w:val="001F7AF5"/>
    <w:rsid w:val="001F7F0A"/>
    <w:rsid w:val="00200373"/>
    <w:rsid w:val="00201AAC"/>
    <w:rsid w:val="002037A4"/>
    <w:rsid w:val="00203A41"/>
    <w:rsid w:val="00204F1A"/>
    <w:rsid w:val="00204F1F"/>
    <w:rsid w:val="00205027"/>
    <w:rsid w:val="002055A6"/>
    <w:rsid w:val="00205F8E"/>
    <w:rsid w:val="00206294"/>
    <w:rsid w:val="0020667B"/>
    <w:rsid w:val="002100A3"/>
    <w:rsid w:val="002109EA"/>
    <w:rsid w:val="00212202"/>
    <w:rsid w:val="00212306"/>
    <w:rsid w:val="00212406"/>
    <w:rsid w:val="002128C2"/>
    <w:rsid w:val="0021336F"/>
    <w:rsid w:val="00213466"/>
    <w:rsid w:val="0021425E"/>
    <w:rsid w:val="00214DA8"/>
    <w:rsid w:val="0021538E"/>
    <w:rsid w:val="00216CBC"/>
    <w:rsid w:val="002170AA"/>
    <w:rsid w:val="00221333"/>
    <w:rsid w:val="0022149E"/>
    <w:rsid w:val="002223BA"/>
    <w:rsid w:val="002226D5"/>
    <w:rsid w:val="0022338F"/>
    <w:rsid w:val="002254DA"/>
    <w:rsid w:val="00225E9C"/>
    <w:rsid w:val="00227625"/>
    <w:rsid w:val="00227F16"/>
    <w:rsid w:val="0023066D"/>
    <w:rsid w:val="00230F2E"/>
    <w:rsid w:val="002314EE"/>
    <w:rsid w:val="00233F44"/>
    <w:rsid w:val="002343BC"/>
    <w:rsid w:val="0023475F"/>
    <w:rsid w:val="00235B0D"/>
    <w:rsid w:val="00237261"/>
    <w:rsid w:val="00237C68"/>
    <w:rsid w:val="00241A1E"/>
    <w:rsid w:val="0024263B"/>
    <w:rsid w:val="002525B2"/>
    <w:rsid w:val="002525ED"/>
    <w:rsid w:val="00252E42"/>
    <w:rsid w:val="00253AA2"/>
    <w:rsid w:val="00254A61"/>
    <w:rsid w:val="002551F1"/>
    <w:rsid w:val="00255A6F"/>
    <w:rsid w:val="00255D8C"/>
    <w:rsid w:val="0025624C"/>
    <w:rsid w:val="002571FB"/>
    <w:rsid w:val="002573B3"/>
    <w:rsid w:val="002609DE"/>
    <w:rsid w:val="00261DC6"/>
    <w:rsid w:val="002652AC"/>
    <w:rsid w:val="002666AA"/>
    <w:rsid w:val="00270A60"/>
    <w:rsid w:val="00272517"/>
    <w:rsid w:val="00273EEE"/>
    <w:rsid w:val="002751A1"/>
    <w:rsid w:val="00275638"/>
    <w:rsid w:val="0027601D"/>
    <w:rsid w:val="00276E2A"/>
    <w:rsid w:val="002804A9"/>
    <w:rsid w:val="00281380"/>
    <w:rsid w:val="00282886"/>
    <w:rsid w:val="0028324F"/>
    <w:rsid w:val="002832AB"/>
    <w:rsid w:val="00283AA9"/>
    <w:rsid w:val="00286573"/>
    <w:rsid w:val="00287C53"/>
    <w:rsid w:val="002935B4"/>
    <w:rsid w:val="002936AD"/>
    <w:rsid w:val="0029543E"/>
    <w:rsid w:val="00297FD6"/>
    <w:rsid w:val="002A01D4"/>
    <w:rsid w:val="002A2384"/>
    <w:rsid w:val="002A299E"/>
    <w:rsid w:val="002A45B1"/>
    <w:rsid w:val="002A5AD2"/>
    <w:rsid w:val="002A6CC6"/>
    <w:rsid w:val="002A79A3"/>
    <w:rsid w:val="002A7D0A"/>
    <w:rsid w:val="002A7FB9"/>
    <w:rsid w:val="002B0559"/>
    <w:rsid w:val="002B12D9"/>
    <w:rsid w:val="002B201D"/>
    <w:rsid w:val="002B47C7"/>
    <w:rsid w:val="002B4C6F"/>
    <w:rsid w:val="002C2595"/>
    <w:rsid w:val="002C59FA"/>
    <w:rsid w:val="002C6521"/>
    <w:rsid w:val="002D0246"/>
    <w:rsid w:val="002D0A89"/>
    <w:rsid w:val="002D10AF"/>
    <w:rsid w:val="002D2ACE"/>
    <w:rsid w:val="002D3168"/>
    <w:rsid w:val="002D524F"/>
    <w:rsid w:val="002D5A10"/>
    <w:rsid w:val="002D7115"/>
    <w:rsid w:val="002D7616"/>
    <w:rsid w:val="002E0F77"/>
    <w:rsid w:val="002E1028"/>
    <w:rsid w:val="002E2174"/>
    <w:rsid w:val="002E4AC3"/>
    <w:rsid w:val="002E5B1F"/>
    <w:rsid w:val="002E5F5D"/>
    <w:rsid w:val="002E6506"/>
    <w:rsid w:val="002F244C"/>
    <w:rsid w:val="002F2B1F"/>
    <w:rsid w:val="002F2C31"/>
    <w:rsid w:val="002F3566"/>
    <w:rsid w:val="002F40BE"/>
    <w:rsid w:val="002F4649"/>
    <w:rsid w:val="002F4CBB"/>
    <w:rsid w:val="002F5700"/>
    <w:rsid w:val="002F5878"/>
    <w:rsid w:val="002F5FE1"/>
    <w:rsid w:val="002F6811"/>
    <w:rsid w:val="002F6964"/>
    <w:rsid w:val="002F7FBD"/>
    <w:rsid w:val="00300547"/>
    <w:rsid w:val="00301BB3"/>
    <w:rsid w:val="003023AD"/>
    <w:rsid w:val="00304315"/>
    <w:rsid w:val="00306A61"/>
    <w:rsid w:val="003102C6"/>
    <w:rsid w:val="00311137"/>
    <w:rsid w:val="00313348"/>
    <w:rsid w:val="00313927"/>
    <w:rsid w:val="00314279"/>
    <w:rsid w:val="00315AB3"/>
    <w:rsid w:val="00320E4F"/>
    <w:rsid w:val="0032163D"/>
    <w:rsid w:val="00322398"/>
    <w:rsid w:val="003230A1"/>
    <w:rsid w:val="00325444"/>
    <w:rsid w:val="003264DC"/>
    <w:rsid w:val="003301E9"/>
    <w:rsid w:val="003303AF"/>
    <w:rsid w:val="00330CC5"/>
    <w:rsid w:val="0033162F"/>
    <w:rsid w:val="00331B57"/>
    <w:rsid w:val="00333186"/>
    <w:rsid w:val="00335FF2"/>
    <w:rsid w:val="00337274"/>
    <w:rsid w:val="00337D61"/>
    <w:rsid w:val="00344086"/>
    <w:rsid w:val="0034459F"/>
    <w:rsid w:val="003446BC"/>
    <w:rsid w:val="00344B99"/>
    <w:rsid w:val="00346804"/>
    <w:rsid w:val="003469B5"/>
    <w:rsid w:val="00347A0D"/>
    <w:rsid w:val="00347B96"/>
    <w:rsid w:val="0035022A"/>
    <w:rsid w:val="003520D5"/>
    <w:rsid w:val="00352AB9"/>
    <w:rsid w:val="00354AE4"/>
    <w:rsid w:val="003560FD"/>
    <w:rsid w:val="00356B54"/>
    <w:rsid w:val="00356D76"/>
    <w:rsid w:val="003602C0"/>
    <w:rsid w:val="003603E5"/>
    <w:rsid w:val="00361C68"/>
    <w:rsid w:val="00362E3E"/>
    <w:rsid w:val="00363D11"/>
    <w:rsid w:val="00364113"/>
    <w:rsid w:val="003643A0"/>
    <w:rsid w:val="003657DF"/>
    <w:rsid w:val="00365993"/>
    <w:rsid w:val="00365D51"/>
    <w:rsid w:val="00365FDA"/>
    <w:rsid w:val="0036674A"/>
    <w:rsid w:val="0036726B"/>
    <w:rsid w:val="00367DBF"/>
    <w:rsid w:val="00370BE8"/>
    <w:rsid w:val="00371290"/>
    <w:rsid w:val="0037251A"/>
    <w:rsid w:val="00372ED1"/>
    <w:rsid w:val="0037335F"/>
    <w:rsid w:val="003742A7"/>
    <w:rsid w:val="0037488E"/>
    <w:rsid w:val="003759BA"/>
    <w:rsid w:val="00375FAD"/>
    <w:rsid w:val="00375FFD"/>
    <w:rsid w:val="00377308"/>
    <w:rsid w:val="0038004C"/>
    <w:rsid w:val="0038043F"/>
    <w:rsid w:val="00380662"/>
    <w:rsid w:val="00380BFA"/>
    <w:rsid w:val="00380DD2"/>
    <w:rsid w:val="003819A9"/>
    <w:rsid w:val="003820E9"/>
    <w:rsid w:val="0038512A"/>
    <w:rsid w:val="00385A51"/>
    <w:rsid w:val="00385AB8"/>
    <w:rsid w:val="00385EE5"/>
    <w:rsid w:val="003870DA"/>
    <w:rsid w:val="00387538"/>
    <w:rsid w:val="00387E31"/>
    <w:rsid w:val="003911E4"/>
    <w:rsid w:val="003916BF"/>
    <w:rsid w:val="00392E12"/>
    <w:rsid w:val="00393334"/>
    <w:rsid w:val="00393FFD"/>
    <w:rsid w:val="00394DF3"/>
    <w:rsid w:val="00395D55"/>
    <w:rsid w:val="003977E1"/>
    <w:rsid w:val="003A15A6"/>
    <w:rsid w:val="003A1E6D"/>
    <w:rsid w:val="003A30F4"/>
    <w:rsid w:val="003A39CE"/>
    <w:rsid w:val="003A3E89"/>
    <w:rsid w:val="003A6AA1"/>
    <w:rsid w:val="003A6B04"/>
    <w:rsid w:val="003A6C7A"/>
    <w:rsid w:val="003A75DC"/>
    <w:rsid w:val="003A7F54"/>
    <w:rsid w:val="003B1CAA"/>
    <w:rsid w:val="003B213A"/>
    <w:rsid w:val="003B2430"/>
    <w:rsid w:val="003B2F81"/>
    <w:rsid w:val="003B308A"/>
    <w:rsid w:val="003B3E3A"/>
    <w:rsid w:val="003B4010"/>
    <w:rsid w:val="003B4C3C"/>
    <w:rsid w:val="003B54EB"/>
    <w:rsid w:val="003B642C"/>
    <w:rsid w:val="003B6658"/>
    <w:rsid w:val="003B6D2E"/>
    <w:rsid w:val="003B7893"/>
    <w:rsid w:val="003C046D"/>
    <w:rsid w:val="003C0A01"/>
    <w:rsid w:val="003C1A51"/>
    <w:rsid w:val="003C219F"/>
    <w:rsid w:val="003C255D"/>
    <w:rsid w:val="003C352F"/>
    <w:rsid w:val="003C3E99"/>
    <w:rsid w:val="003C4042"/>
    <w:rsid w:val="003C4FC7"/>
    <w:rsid w:val="003C53A8"/>
    <w:rsid w:val="003C7D42"/>
    <w:rsid w:val="003D02FF"/>
    <w:rsid w:val="003D2C62"/>
    <w:rsid w:val="003D2FEF"/>
    <w:rsid w:val="003D358F"/>
    <w:rsid w:val="003D3E96"/>
    <w:rsid w:val="003D5093"/>
    <w:rsid w:val="003D5097"/>
    <w:rsid w:val="003D529A"/>
    <w:rsid w:val="003D7516"/>
    <w:rsid w:val="003D7BCF"/>
    <w:rsid w:val="003E1796"/>
    <w:rsid w:val="003E1991"/>
    <w:rsid w:val="003E1FB7"/>
    <w:rsid w:val="003E24A9"/>
    <w:rsid w:val="003E3E2B"/>
    <w:rsid w:val="003E45DB"/>
    <w:rsid w:val="003E51CB"/>
    <w:rsid w:val="003E5E69"/>
    <w:rsid w:val="003E5E9E"/>
    <w:rsid w:val="003E73D9"/>
    <w:rsid w:val="003F1D80"/>
    <w:rsid w:val="003F2952"/>
    <w:rsid w:val="003F2BAB"/>
    <w:rsid w:val="003F39C7"/>
    <w:rsid w:val="003F574A"/>
    <w:rsid w:val="003F5C93"/>
    <w:rsid w:val="003F6D0B"/>
    <w:rsid w:val="003F713D"/>
    <w:rsid w:val="003F76C1"/>
    <w:rsid w:val="003F7D3C"/>
    <w:rsid w:val="00401C9A"/>
    <w:rsid w:val="004021A2"/>
    <w:rsid w:val="004025FD"/>
    <w:rsid w:val="00402F25"/>
    <w:rsid w:val="004030ED"/>
    <w:rsid w:val="00403385"/>
    <w:rsid w:val="00403BA4"/>
    <w:rsid w:val="0040424F"/>
    <w:rsid w:val="0040468D"/>
    <w:rsid w:val="00404A4A"/>
    <w:rsid w:val="00405DCE"/>
    <w:rsid w:val="004071CB"/>
    <w:rsid w:val="00407E40"/>
    <w:rsid w:val="00410693"/>
    <w:rsid w:val="00411B59"/>
    <w:rsid w:val="0041263F"/>
    <w:rsid w:val="0041396C"/>
    <w:rsid w:val="0041720E"/>
    <w:rsid w:val="0041727C"/>
    <w:rsid w:val="0042000F"/>
    <w:rsid w:val="00420A9C"/>
    <w:rsid w:val="00420E64"/>
    <w:rsid w:val="00424177"/>
    <w:rsid w:val="00425BF2"/>
    <w:rsid w:val="00427A65"/>
    <w:rsid w:val="00427AB0"/>
    <w:rsid w:val="00430347"/>
    <w:rsid w:val="00432519"/>
    <w:rsid w:val="004335CC"/>
    <w:rsid w:val="00434DB2"/>
    <w:rsid w:val="004364E0"/>
    <w:rsid w:val="004369AC"/>
    <w:rsid w:val="00436BE6"/>
    <w:rsid w:val="004378C8"/>
    <w:rsid w:val="00437F49"/>
    <w:rsid w:val="00442300"/>
    <w:rsid w:val="004455C2"/>
    <w:rsid w:val="00445877"/>
    <w:rsid w:val="004459D0"/>
    <w:rsid w:val="00445C77"/>
    <w:rsid w:val="00447A1E"/>
    <w:rsid w:val="004510B0"/>
    <w:rsid w:val="00451509"/>
    <w:rsid w:val="00451B61"/>
    <w:rsid w:val="00452998"/>
    <w:rsid w:val="0045515D"/>
    <w:rsid w:val="00455CB3"/>
    <w:rsid w:val="0046054D"/>
    <w:rsid w:val="004611FC"/>
    <w:rsid w:val="004623D6"/>
    <w:rsid w:val="00463DAF"/>
    <w:rsid w:val="004648AD"/>
    <w:rsid w:val="00464BD9"/>
    <w:rsid w:val="004652FA"/>
    <w:rsid w:val="00465B54"/>
    <w:rsid w:val="00465D07"/>
    <w:rsid w:val="0046663E"/>
    <w:rsid w:val="00466D7D"/>
    <w:rsid w:val="0046745E"/>
    <w:rsid w:val="004677BE"/>
    <w:rsid w:val="00467844"/>
    <w:rsid w:val="004706A0"/>
    <w:rsid w:val="004723DB"/>
    <w:rsid w:val="00472807"/>
    <w:rsid w:val="004744A5"/>
    <w:rsid w:val="00474B6D"/>
    <w:rsid w:val="00474F8A"/>
    <w:rsid w:val="0047522C"/>
    <w:rsid w:val="00475736"/>
    <w:rsid w:val="0048049B"/>
    <w:rsid w:val="00481504"/>
    <w:rsid w:val="00481A8C"/>
    <w:rsid w:val="0048347B"/>
    <w:rsid w:val="004839BE"/>
    <w:rsid w:val="00484443"/>
    <w:rsid w:val="00484695"/>
    <w:rsid w:val="00484721"/>
    <w:rsid w:val="00485CA6"/>
    <w:rsid w:val="00487EF8"/>
    <w:rsid w:val="00490E61"/>
    <w:rsid w:val="0049154F"/>
    <w:rsid w:val="00492B76"/>
    <w:rsid w:val="00497AE8"/>
    <w:rsid w:val="004A0509"/>
    <w:rsid w:val="004A09ED"/>
    <w:rsid w:val="004A1850"/>
    <w:rsid w:val="004A3551"/>
    <w:rsid w:val="004A3A66"/>
    <w:rsid w:val="004A3E8A"/>
    <w:rsid w:val="004A40F4"/>
    <w:rsid w:val="004A53A0"/>
    <w:rsid w:val="004A5899"/>
    <w:rsid w:val="004A5ACE"/>
    <w:rsid w:val="004A6063"/>
    <w:rsid w:val="004B0A6D"/>
    <w:rsid w:val="004B0D52"/>
    <w:rsid w:val="004B18D6"/>
    <w:rsid w:val="004B2ACA"/>
    <w:rsid w:val="004B37E8"/>
    <w:rsid w:val="004B39DC"/>
    <w:rsid w:val="004B49E9"/>
    <w:rsid w:val="004B6A5A"/>
    <w:rsid w:val="004C0B51"/>
    <w:rsid w:val="004C1188"/>
    <w:rsid w:val="004C1C2A"/>
    <w:rsid w:val="004C2812"/>
    <w:rsid w:val="004C3AE4"/>
    <w:rsid w:val="004C4E08"/>
    <w:rsid w:val="004C63BA"/>
    <w:rsid w:val="004C6596"/>
    <w:rsid w:val="004D28C2"/>
    <w:rsid w:val="004D2BB5"/>
    <w:rsid w:val="004D428E"/>
    <w:rsid w:val="004D4EAE"/>
    <w:rsid w:val="004D4FFC"/>
    <w:rsid w:val="004D5C78"/>
    <w:rsid w:val="004E0A9E"/>
    <w:rsid w:val="004E2ACC"/>
    <w:rsid w:val="004E4022"/>
    <w:rsid w:val="004E4CEF"/>
    <w:rsid w:val="004E6525"/>
    <w:rsid w:val="004E742A"/>
    <w:rsid w:val="004E7E20"/>
    <w:rsid w:val="004E7E2F"/>
    <w:rsid w:val="004F1567"/>
    <w:rsid w:val="004F2270"/>
    <w:rsid w:val="004F3215"/>
    <w:rsid w:val="004F3B5F"/>
    <w:rsid w:val="004F3D71"/>
    <w:rsid w:val="004F509F"/>
    <w:rsid w:val="00501770"/>
    <w:rsid w:val="005026EB"/>
    <w:rsid w:val="00502A00"/>
    <w:rsid w:val="00503FD5"/>
    <w:rsid w:val="00504D68"/>
    <w:rsid w:val="00505121"/>
    <w:rsid w:val="005067B2"/>
    <w:rsid w:val="00507434"/>
    <w:rsid w:val="00510D83"/>
    <w:rsid w:val="00510E64"/>
    <w:rsid w:val="0051140C"/>
    <w:rsid w:val="00511483"/>
    <w:rsid w:val="005114CC"/>
    <w:rsid w:val="00511A95"/>
    <w:rsid w:val="00512308"/>
    <w:rsid w:val="005123A0"/>
    <w:rsid w:val="0051269E"/>
    <w:rsid w:val="005129DE"/>
    <w:rsid w:val="00513DF2"/>
    <w:rsid w:val="00515E78"/>
    <w:rsid w:val="0051640C"/>
    <w:rsid w:val="005214C2"/>
    <w:rsid w:val="0052229B"/>
    <w:rsid w:val="00522ACD"/>
    <w:rsid w:val="00522F46"/>
    <w:rsid w:val="0052437B"/>
    <w:rsid w:val="00526993"/>
    <w:rsid w:val="00527DE4"/>
    <w:rsid w:val="0053046F"/>
    <w:rsid w:val="00531607"/>
    <w:rsid w:val="005339D7"/>
    <w:rsid w:val="00534229"/>
    <w:rsid w:val="005356BC"/>
    <w:rsid w:val="005374EE"/>
    <w:rsid w:val="00537FF0"/>
    <w:rsid w:val="00540A59"/>
    <w:rsid w:val="005412B1"/>
    <w:rsid w:val="005460C6"/>
    <w:rsid w:val="005467A5"/>
    <w:rsid w:val="00550500"/>
    <w:rsid w:val="00550836"/>
    <w:rsid w:val="00550868"/>
    <w:rsid w:val="0055152D"/>
    <w:rsid w:val="005515CF"/>
    <w:rsid w:val="00551A63"/>
    <w:rsid w:val="005528A3"/>
    <w:rsid w:val="00553002"/>
    <w:rsid w:val="0055320D"/>
    <w:rsid w:val="00553B56"/>
    <w:rsid w:val="005541C3"/>
    <w:rsid w:val="00554BB5"/>
    <w:rsid w:val="005557F7"/>
    <w:rsid w:val="00556D8C"/>
    <w:rsid w:val="00561090"/>
    <w:rsid w:val="005612DD"/>
    <w:rsid w:val="00561B16"/>
    <w:rsid w:val="00562644"/>
    <w:rsid w:val="005647A9"/>
    <w:rsid w:val="00564C00"/>
    <w:rsid w:val="00565304"/>
    <w:rsid w:val="005657B8"/>
    <w:rsid w:val="00565B2C"/>
    <w:rsid w:val="005672EF"/>
    <w:rsid w:val="005723EE"/>
    <w:rsid w:val="00572950"/>
    <w:rsid w:val="00573267"/>
    <w:rsid w:val="00573FF3"/>
    <w:rsid w:val="005740F6"/>
    <w:rsid w:val="005747C9"/>
    <w:rsid w:val="00575AAB"/>
    <w:rsid w:val="0057611D"/>
    <w:rsid w:val="00576DF7"/>
    <w:rsid w:val="00577860"/>
    <w:rsid w:val="00577972"/>
    <w:rsid w:val="00580C6D"/>
    <w:rsid w:val="00581196"/>
    <w:rsid w:val="00583425"/>
    <w:rsid w:val="00584EF1"/>
    <w:rsid w:val="00590D4E"/>
    <w:rsid w:val="00590E9B"/>
    <w:rsid w:val="00591797"/>
    <w:rsid w:val="00592B75"/>
    <w:rsid w:val="00596F30"/>
    <w:rsid w:val="005A1D14"/>
    <w:rsid w:val="005A1E3A"/>
    <w:rsid w:val="005A25E2"/>
    <w:rsid w:val="005A28C7"/>
    <w:rsid w:val="005A29D3"/>
    <w:rsid w:val="005A43D1"/>
    <w:rsid w:val="005A5F99"/>
    <w:rsid w:val="005A6A8C"/>
    <w:rsid w:val="005A748B"/>
    <w:rsid w:val="005A7CC7"/>
    <w:rsid w:val="005B0749"/>
    <w:rsid w:val="005B0A2F"/>
    <w:rsid w:val="005B0E61"/>
    <w:rsid w:val="005B0F92"/>
    <w:rsid w:val="005B36EA"/>
    <w:rsid w:val="005B37D9"/>
    <w:rsid w:val="005B3E57"/>
    <w:rsid w:val="005B45E5"/>
    <w:rsid w:val="005B49E0"/>
    <w:rsid w:val="005B5940"/>
    <w:rsid w:val="005B5ED3"/>
    <w:rsid w:val="005B7706"/>
    <w:rsid w:val="005C00A0"/>
    <w:rsid w:val="005C2208"/>
    <w:rsid w:val="005C3117"/>
    <w:rsid w:val="005C3F65"/>
    <w:rsid w:val="005C46FA"/>
    <w:rsid w:val="005C4F42"/>
    <w:rsid w:val="005C58F8"/>
    <w:rsid w:val="005C70F6"/>
    <w:rsid w:val="005C7292"/>
    <w:rsid w:val="005C73D1"/>
    <w:rsid w:val="005D0D69"/>
    <w:rsid w:val="005D1563"/>
    <w:rsid w:val="005D172D"/>
    <w:rsid w:val="005D23EF"/>
    <w:rsid w:val="005D2F60"/>
    <w:rsid w:val="005D3244"/>
    <w:rsid w:val="005D3B17"/>
    <w:rsid w:val="005D3EEF"/>
    <w:rsid w:val="005D43D2"/>
    <w:rsid w:val="005D50FE"/>
    <w:rsid w:val="005D6547"/>
    <w:rsid w:val="005D6732"/>
    <w:rsid w:val="005E212F"/>
    <w:rsid w:val="005E2923"/>
    <w:rsid w:val="005E29B7"/>
    <w:rsid w:val="005E4086"/>
    <w:rsid w:val="005E6402"/>
    <w:rsid w:val="005E7F0A"/>
    <w:rsid w:val="005F0729"/>
    <w:rsid w:val="005F0DC6"/>
    <w:rsid w:val="005F409A"/>
    <w:rsid w:val="005F6667"/>
    <w:rsid w:val="005F7353"/>
    <w:rsid w:val="005F7CB5"/>
    <w:rsid w:val="0060301B"/>
    <w:rsid w:val="006032A2"/>
    <w:rsid w:val="00604FD2"/>
    <w:rsid w:val="00605098"/>
    <w:rsid w:val="006075B8"/>
    <w:rsid w:val="00607D0C"/>
    <w:rsid w:val="006102B9"/>
    <w:rsid w:val="0061060F"/>
    <w:rsid w:val="0061357A"/>
    <w:rsid w:val="0061375D"/>
    <w:rsid w:val="00614009"/>
    <w:rsid w:val="006150D5"/>
    <w:rsid w:val="0061532B"/>
    <w:rsid w:val="00616359"/>
    <w:rsid w:val="00617174"/>
    <w:rsid w:val="00617749"/>
    <w:rsid w:val="00620735"/>
    <w:rsid w:val="00621FF5"/>
    <w:rsid w:val="00622358"/>
    <w:rsid w:val="00623AC5"/>
    <w:rsid w:val="00625DCD"/>
    <w:rsid w:val="0062650A"/>
    <w:rsid w:val="00627B48"/>
    <w:rsid w:val="00631075"/>
    <w:rsid w:val="00632511"/>
    <w:rsid w:val="0063308C"/>
    <w:rsid w:val="006354ED"/>
    <w:rsid w:val="006359F6"/>
    <w:rsid w:val="00635AD6"/>
    <w:rsid w:val="00636C60"/>
    <w:rsid w:val="0063743F"/>
    <w:rsid w:val="00637B83"/>
    <w:rsid w:val="00640A87"/>
    <w:rsid w:val="006416BB"/>
    <w:rsid w:val="00641880"/>
    <w:rsid w:val="00641C39"/>
    <w:rsid w:val="00642974"/>
    <w:rsid w:val="00642EFD"/>
    <w:rsid w:val="006443C1"/>
    <w:rsid w:val="00645F41"/>
    <w:rsid w:val="00646526"/>
    <w:rsid w:val="006465EA"/>
    <w:rsid w:val="006467EB"/>
    <w:rsid w:val="00651001"/>
    <w:rsid w:val="00654889"/>
    <w:rsid w:val="00654D07"/>
    <w:rsid w:val="006554BB"/>
    <w:rsid w:val="00655B09"/>
    <w:rsid w:val="0066050B"/>
    <w:rsid w:val="00660D26"/>
    <w:rsid w:val="00661C3F"/>
    <w:rsid w:val="00664C68"/>
    <w:rsid w:val="00664D75"/>
    <w:rsid w:val="006653A0"/>
    <w:rsid w:val="00666D00"/>
    <w:rsid w:val="00667E9A"/>
    <w:rsid w:val="006718FC"/>
    <w:rsid w:val="00671B34"/>
    <w:rsid w:val="00671C9F"/>
    <w:rsid w:val="00672B88"/>
    <w:rsid w:val="00675A09"/>
    <w:rsid w:val="006779C3"/>
    <w:rsid w:val="00677C34"/>
    <w:rsid w:val="006810FB"/>
    <w:rsid w:val="006829D7"/>
    <w:rsid w:val="00682BD7"/>
    <w:rsid w:val="006831A5"/>
    <w:rsid w:val="00683692"/>
    <w:rsid w:val="00685D87"/>
    <w:rsid w:val="00686A72"/>
    <w:rsid w:val="00686F49"/>
    <w:rsid w:val="006901B1"/>
    <w:rsid w:val="006906AB"/>
    <w:rsid w:val="00691067"/>
    <w:rsid w:val="00691218"/>
    <w:rsid w:val="00691EEA"/>
    <w:rsid w:val="0069388D"/>
    <w:rsid w:val="0069521E"/>
    <w:rsid w:val="0069698F"/>
    <w:rsid w:val="006979DD"/>
    <w:rsid w:val="006A0AE6"/>
    <w:rsid w:val="006A2054"/>
    <w:rsid w:val="006A2ABF"/>
    <w:rsid w:val="006A2BA4"/>
    <w:rsid w:val="006A3D3A"/>
    <w:rsid w:val="006A4206"/>
    <w:rsid w:val="006A496C"/>
    <w:rsid w:val="006A623A"/>
    <w:rsid w:val="006A71BB"/>
    <w:rsid w:val="006B0F90"/>
    <w:rsid w:val="006B189A"/>
    <w:rsid w:val="006B2C88"/>
    <w:rsid w:val="006B38F6"/>
    <w:rsid w:val="006B3CB1"/>
    <w:rsid w:val="006B4327"/>
    <w:rsid w:val="006B5A07"/>
    <w:rsid w:val="006B61CD"/>
    <w:rsid w:val="006B6835"/>
    <w:rsid w:val="006B6A37"/>
    <w:rsid w:val="006B7AAF"/>
    <w:rsid w:val="006B7F99"/>
    <w:rsid w:val="006C01EE"/>
    <w:rsid w:val="006C08E8"/>
    <w:rsid w:val="006C25A7"/>
    <w:rsid w:val="006C3B6A"/>
    <w:rsid w:val="006C4200"/>
    <w:rsid w:val="006C4851"/>
    <w:rsid w:val="006C4A3C"/>
    <w:rsid w:val="006C59E3"/>
    <w:rsid w:val="006C5A2C"/>
    <w:rsid w:val="006C68A7"/>
    <w:rsid w:val="006C6B09"/>
    <w:rsid w:val="006C6B19"/>
    <w:rsid w:val="006D0521"/>
    <w:rsid w:val="006D1A6C"/>
    <w:rsid w:val="006D46D2"/>
    <w:rsid w:val="006D7640"/>
    <w:rsid w:val="006D7AC8"/>
    <w:rsid w:val="006E0248"/>
    <w:rsid w:val="006E1158"/>
    <w:rsid w:val="006E1DB9"/>
    <w:rsid w:val="006E352D"/>
    <w:rsid w:val="006E3D3F"/>
    <w:rsid w:val="006E5843"/>
    <w:rsid w:val="006E5D1F"/>
    <w:rsid w:val="006E5E58"/>
    <w:rsid w:val="006E5FD7"/>
    <w:rsid w:val="006E7262"/>
    <w:rsid w:val="006E7F88"/>
    <w:rsid w:val="006F2D3A"/>
    <w:rsid w:val="006F2F80"/>
    <w:rsid w:val="006F41EF"/>
    <w:rsid w:val="006F4E07"/>
    <w:rsid w:val="006F5122"/>
    <w:rsid w:val="006F551A"/>
    <w:rsid w:val="006F5F83"/>
    <w:rsid w:val="006F6918"/>
    <w:rsid w:val="006F6ECC"/>
    <w:rsid w:val="006F7119"/>
    <w:rsid w:val="006F7A45"/>
    <w:rsid w:val="007023CC"/>
    <w:rsid w:val="0070301C"/>
    <w:rsid w:val="00703CDA"/>
    <w:rsid w:val="00703D97"/>
    <w:rsid w:val="00703FA0"/>
    <w:rsid w:val="00706000"/>
    <w:rsid w:val="00706776"/>
    <w:rsid w:val="00707233"/>
    <w:rsid w:val="00710C63"/>
    <w:rsid w:val="00712026"/>
    <w:rsid w:val="007132D5"/>
    <w:rsid w:val="00713F05"/>
    <w:rsid w:val="00715C13"/>
    <w:rsid w:val="00716149"/>
    <w:rsid w:val="00716DFD"/>
    <w:rsid w:val="00716FD1"/>
    <w:rsid w:val="00716FF7"/>
    <w:rsid w:val="00717A45"/>
    <w:rsid w:val="00721D80"/>
    <w:rsid w:val="0072297A"/>
    <w:rsid w:val="007231AE"/>
    <w:rsid w:val="00723375"/>
    <w:rsid w:val="007236BE"/>
    <w:rsid w:val="00723B18"/>
    <w:rsid w:val="0072406C"/>
    <w:rsid w:val="007241E8"/>
    <w:rsid w:val="00726E64"/>
    <w:rsid w:val="00730310"/>
    <w:rsid w:val="007304A2"/>
    <w:rsid w:val="007307C0"/>
    <w:rsid w:val="007311CD"/>
    <w:rsid w:val="0073248B"/>
    <w:rsid w:val="007346F5"/>
    <w:rsid w:val="00734CA0"/>
    <w:rsid w:val="007351C1"/>
    <w:rsid w:val="007363F5"/>
    <w:rsid w:val="007366ED"/>
    <w:rsid w:val="00736DAC"/>
    <w:rsid w:val="007373CB"/>
    <w:rsid w:val="00740911"/>
    <w:rsid w:val="0074148D"/>
    <w:rsid w:val="00741C5D"/>
    <w:rsid w:val="00741DB1"/>
    <w:rsid w:val="007422A4"/>
    <w:rsid w:val="0074235A"/>
    <w:rsid w:val="00742874"/>
    <w:rsid w:val="007435C3"/>
    <w:rsid w:val="00745271"/>
    <w:rsid w:val="00746D2E"/>
    <w:rsid w:val="00746E64"/>
    <w:rsid w:val="0074767A"/>
    <w:rsid w:val="0075051F"/>
    <w:rsid w:val="00750774"/>
    <w:rsid w:val="007518AE"/>
    <w:rsid w:val="00751914"/>
    <w:rsid w:val="00754126"/>
    <w:rsid w:val="00754176"/>
    <w:rsid w:val="00754DF2"/>
    <w:rsid w:val="007568B4"/>
    <w:rsid w:val="00757825"/>
    <w:rsid w:val="0076047C"/>
    <w:rsid w:val="00760E05"/>
    <w:rsid w:val="00761BBB"/>
    <w:rsid w:val="00762CAD"/>
    <w:rsid w:val="0076439B"/>
    <w:rsid w:val="00764872"/>
    <w:rsid w:val="00766FBB"/>
    <w:rsid w:val="00767A7C"/>
    <w:rsid w:val="007708F8"/>
    <w:rsid w:val="007721B8"/>
    <w:rsid w:val="007722A2"/>
    <w:rsid w:val="00773829"/>
    <w:rsid w:val="00774062"/>
    <w:rsid w:val="00775198"/>
    <w:rsid w:val="00775ED7"/>
    <w:rsid w:val="0078326C"/>
    <w:rsid w:val="007844C0"/>
    <w:rsid w:val="00784F66"/>
    <w:rsid w:val="00785F9E"/>
    <w:rsid w:val="00790E13"/>
    <w:rsid w:val="00791408"/>
    <w:rsid w:val="007915B5"/>
    <w:rsid w:val="007939F0"/>
    <w:rsid w:val="007942A5"/>
    <w:rsid w:val="0079445B"/>
    <w:rsid w:val="00795C51"/>
    <w:rsid w:val="00795FC3"/>
    <w:rsid w:val="007A127E"/>
    <w:rsid w:val="007A17A0"/>
    <w:rsid w:val="007A22B7"/>
    <w:rsid w:val="007A2753"/>
    <w:rsid w:val="007A27EF"/>
    <w:rsid w:val="007A2BE8"/>
    <w:rsid w:val="007A42FD"/>
    <w:rsid w:val="007A4367"/>
    <w:rsid w:val="007A5AEC"/>
    <w:rsid w:val="007A6206"/>
    <w:rsid w:val="007A7CC3"/>
    <w:rsid w:val="007B09B9"/>
    <w:rsid w:val="007B14B5"/>
    <w:rsid w:val="007B21D4"/>
    <w:rsid w:val="007B278D"/>
    <w:rsid w:val="007B363E"/>
    <w:rsid w:val="007B3D92"/>
    <w:rsid w:val="007B430E"/>
    <w:rsid w:val="007B4C90"/>
    <w:rsid w:val="007B611B"/>
    <w:rsid w:val="007B64E5"/>
    <w:rsid w:val="007B7703"/>
    <w:rsid w:val="007C0F0B"/>
    <w:rsid w:val="007C1CFA"/>
    <w:rsid w:val="007C1DC8"/>
    <w:rsid w:val="007C2494"/>
    <w:rsid w:val="007C264E"/>
    <w:rsid w:val="007C3257"/>
    <w:rsid w:val="007C44CF"/>
    <w:rsid w:val="007C46B9"/>
    <w:rsid w:val="007C492E"/>
    <w:rsid w:val="007C55BD"/>
    <w:rsid w:val="007C5606"/>
    <w:rsid w:val="007C5AF4"/>
    <w:rsid w:val="007C6D8B"/>
    <w:rsid w:val="007C7743"/>
    <w:rsid w:val="007D0816"/>
    <w:rsid w:val="007D08A0"/>
    <w:rsid w:val="007D1025"/>
    <w:rsid w:val="007D1A3A"/>
    <w:rsid w:val="007D1D7A"/>
    <w:rsid w:val="007D20B1"/>
    <w:rsid w:val="007D2AA7"/>
    <w:rsid w:val="007D3709"/>
    <w:rsid w:val="007D4F47"/>
    <w:rsid w:val="007D562B"/>
    <w:rsid w:val="007D6F92"/>
    <w:rsid w:val="007E11BA"/>
    <w:rsid w:val="007E1495"/>
    <w:rsid w:val="007E295B"/>
    <w:rsid w:val="007E2D21"/>
    <w:rsid w:val="007E4248"/>
    <w:rsid w:val="007E512B"/>
    <w:rsid w:val="007E64A1"/>
    <w:rsid w:val="007E658A"/>
    <w:rsid w:val="007E678D"/>
    <w:rsid w:val="007E748A"/>
    <w:rsid w:val="007E75D2"/>
    <w:rsid w:val="007F0A96"/>
    <w:rsid w:val="007F1689"/>
    <w:rsid w:val="007F2E78"/>
    <w:rsid w:val="007F3787"/>
    <w:rsid w:val="007F4E0F"/>
    <w:rsid w:val="007F5472"/>
    <w:rsid w:val="007F5611"/>
    <w:rsid w:val="007F7302"/>
    <w:rsid w:val="007F7A01"/>
    <w:rsid w:val="00800968"/>
    <w:rsid w:val="00800F51"/>
    <w:rsid w:val="00803129"/>
    <w:rsid w:val="008038D9"/>
    <w:rsid w:val="00804BB1"/>
    <w:rsid w:val="00805F54"/>
    <w:rsid w:val="00806715"/>
    <w:rsid w:val="0080796B"/>
    <w:rsid w:val="00807A0D"/>
    <w:rsid w:val="0081180C"/>
    <w:rsid w:val="00811E05"/>
    <w:rsid w:val="008122D1"/>
    <w:rsid w:val="008131B4"/>
    <w:rsid w:val="00813C20"/>
    <w:rsid w:val="00814981"/>
    <w:rsid w:val="00814B1B"/>
    <w:rsid w:val="00814C2D"/>
    <w:rsid w:val="00816D58"/>
    <w:rsid w:val="008170DD"/>
    <w:rsid w:val="00817A88"/>
    <w:rsid w:val="00820689"/>
    <w:rsid w:val="00826D0A"/>
    <w:rsid w:val="00827539"/>
    <w:rsid w:val="008279B7"/>
    <w:rsid w:val="00827FDD"/>
    <w:rsid w:val="00831CBA"/>
    <w:rsid w:val="00833DBE"/>
    <w:rsid w:val="00836384"/>
    <w:rsid w:val="0083716B"/>
    <w:rsid w:val="0084717A"/>
    <w:rsid w:val="00847EA4"/>
    <w:rsid w:val="00851960"/>
    <w:rsid w:val="00852293"/>
    <w:rsid w:val="00853429"/>
    <w:rsid w:val="00854051"/>
    <w:rsid w:val="00855611"/>
    <w:rsid w:val="008566A7"/>
    <w:rsid w:val="008600F7"/>
    <w:rsid w:val="008618CB"/>
    <w:rsid w:val="008624E6"/>
    <w:rsid w:val="00862510"/>
    <w:rsid w:val="008634E3"/>
    <w:rsid w:val="0086491E"/>
    <w:rsid w:val="008657AD"/>
    <w:rsid w:val="008660CB"/>
    <w:rsid w:val="0086729B"/>
    <w:rsid w:val="00870394"/>
    <w:rsid w:val="00870EF7"/>
    <w:rsid w:val="00871FA9"/>
    <w:rsid w:val="00871FB3"/>
    <w:rsid w:val="0087429F"/>
    <w:rsid w:val="0087489B"/>
    <w:rsid w:val="00875EFF"/>
    <w:rsid w:val="00876448"/>
    <w:rsid w:val="008810C5"/>
    <w:rsid w:val="00881ECE"/>
    <w:rsid w:val="00882C2E"/>
    <w:rsid w:val="008838DE"/>
    <w:rsid w:val="00884136"/>
    <w:rsid w:val="008853E3"/>
    <w:rsid w:val="0088712E"/>
    <w:rsid w:val="008903C0"/>
    <w:rsid w:val="008911E2"/>
    <w:rsid w:val="00893275"/>
    <w:rsid w:val="00894F1C"/>
    <w:rsid w:val="00895E9A"/>
    <w:rsid w:val="0089681B"/>
    <w:rsid w:val="008A0EEE"/>
    <w:rsid w:val="008A3D88"/>
    <w:rsid w:val="008A5133"/>
    <w:rsid w:val="008A588C"/>
    <w:rsid w:val="008A5A1E"/>
    <w:rsid w:val="008A686B"/>
    <w:rsid w:val="008A76AA"/>
    <w:rsid w:val="008A7D95"/>
    <w:rsid w:val="008B021D"/>
    <w:rsid w:val="008B05D5"/>
    <w:rsid w:val="008B0FE1"/>
    <w:rsid w:val="008B18B7"/>
    <w:rsid w:val="008B2BAA"/>
    <w:rsid w:val="008B390C"/>
    <w:rsid w:val="008B65D1"/>
    <w:rsid w:val="008B73D1"/>
    <w:rsid w:val="008B7427"/>
    <w:rsid w:val="008C0021"/>
    <w:rsid w:val="008C0E9C"/>
    <w:rsid w:val="008C131A"/>
    <w:rsid w:val="008C231C"/>
    <w:rsid w:val="008C35FD"/>
    <w:rsid w:val="008C3892"/>
    <w:rsid w:val="008C3CA8"/>
    <w:rsid w:val="008C4E82"/>
    <w:rsid w:val="008C529D"/>
    <w:rsid w:val="008C5797"/>
    <w:rsid w:val="008C6A8E"/>
    <w:rsid w:val="008C758B"/>
    <w:rsid w:val="008C7A2F"/>
    <w:rsid w:val="008C7CE1"/>
    <w:rsid w:val="008D1506"/>
    <w:rsid w:val="008D1B37"/>
    <w:rsid w:val="008D1BD2"/>
    <w:rsid w:val="008D29AC"/>
    <w:rsid w:val="008D30FF"/>
    <w:rsid w:val="008D31D2"/>
    <w:rsid w:val="008D3D85"/>
    <w:rsid w:val="008D471F"/>
    <w:rsid w:val="008D56E1"/>
    <w:rsid w:val="008D5E5A"/>
    <w:rsid w:val="008D6728"/>
    <w:rsid w:val="008D677A"/>
    <w:rsid w:val="008E0118"/>
    <w:rsid w:val="008E0FA1"/>
    <w:rsid w:val="008E16CE"/>
    <w:rsid w:val="008F165A"/>
    <w:rsid w:val="008F41AD"/>
    <w:rsid w:val="008F5C67"/>
    <w:rsid w:val="008F64E4"/>
    <w:rsid w:val="008F6946"/>
    <w:rsid w:val="009025C2"/>
    <w:rsid w:val="00903BC6"/>
    <w:rsid w:val="00906A6A"/>
    <w:rsid w:val="00906A7B"/>
    <w:rsid w:val="00907C15"/>
    <w:rsid w:val="00910C47"/>
    <w:rsid w:val="00911EC3"/>
    <w:rsid w:val="00912708"/>
    <w:rsid w:val="009136F9"/>
    <w:rsid w:val="009157DD"/>
    <w:rsid w:val="00916004"/>
    <w:rsid w:val="00916981"/>
    <w:rsid w:val="009200A2"/>
    <w:rsid w:val="00920F2F"/>
    <w:rsid w:val="0092121D"/>
    <w:rsid w:val="00923BE6"/>
    <w:rsid w:val="00924F1E"/>
    <w:rsid w:val="00925638"/>
    <w:rsid w:val="0092614F"/>
    <w:rsid w:val="00926860"/>
    <w:rsid w:val="009268AE"/>
    <w:rsid w:val="00926B8F"/>
    <w:rsid w:val="0093011E"/>
    <w:rsid w:val="00934FF8"/>
    <w:rsid w:val="00936C84"/>
    <w:rsid w:val="00936E51"/>
    <w:rsid w:val="0094059A"/>
    <w:rsid w:val="00942984"/>
    <w:rsid w:val="00942A70"/>
    <w:rsid w:val="00942FF5"/>
    <w:rsid w:val="00943A3F"/>
    <w:rsid w:val="009442EB"/>
    <w:rsid w:val="009449F1"/>
    <w:rsid w:val="00945699"/>
    <w:rsid w:val="00950419"/>
    <w:rsid w:val="00952B40"/>
    <w:rsid w:val="009534AF"/>
    <w:rsid w:val="00953887"/>
    <w:rsid w:val="00954856"/>
    <w:rsid w:val="00954EE9"/>
    <w:rsid w:val="00957B75"/>
    <w:rsid w:val="00960787"/>
    <w:rsid w:val="009617DC"/>
    <w:rsid w:val="009627A8"/>
    <w:rsid w:val="00962BB5"/>
    <w:rsid w:val="00962F09"/>
    <w:rsid w:val="009632EB"/>
    <w:rsid w:val="00963363"/>
    <w:rsid w:val="0096479F"/>
    <w:rsid w:val="00965F9F"/>
    <w:rsid w:val="00966CB5"/>
    <w:rsid w:val="009670AC"/>
    <w:rsid w:val="009671E8"/>
    <w:rsid w:val="009673CB"/>
    <w:rsid w:val="00971614"/>
    <w:rsid w:val="00971F1A"/>
    <w:rsid w:val="00972172"/>
    <w:rsid w:val="00972667"/>
    <w:rsid w:val="00972D85"/>
    <w:rsid w:val="00973485"/>
    <w:rsid w:val="00973BB6"/>
    <w:rsid w:val="009755EA"/>
    <w:rsid w:val="0097569A"/>
    <w:rsid w:val="009756B3"/>
    <w:rsid w:val="00977DD6"/>
    <w:rsid w:val="009807AB"/>
    <w:rsid w:val="00980FE8"/>
    <w:rsid w:val="009815DE"/>
    <w:rsid w:val="0098207E"/>
    <w:rsid w:val="009827EA"/>
    <w:rsid w:val="00983A07"/>
    <w:rsid w:val="009845A7"/>
    <w:rsid w:val="00984D76"/>
    <w:rsid w:val="009858B8"/>
    <w:rsid w:val="009902FB"/>
    <w:rsid w:val="00990DA1"/>
    <w:rsid w:val="00990DB6"/>
    <w:rsid w:val="00992958"/>
    <w:rsid w:val="0099512B"/>
    <w:rsid w:val="00995395"/>
    <w:rsid w:val="009956D4"/>
    <w:rsid w:val="009972B2"/>
    <w:rsid w:val="00997C06"/>
    <w:rsid w:val="009A0ABC"/>
    <w:rsid w:val="009A3A83"/>
    <w:rsid w:val="009A4257"/>
    <w:rsid w:val="009A4F27"/>
    <w:rsid w:val="009A6F36"/>
    <w:rsid w:val="009B0729"/>
    <w:rsid w:val="009B1A0E"/>
    <w:rsid w:val="009B233B"/>
    <w:rsid w:val="009B4BC0"/>
    <w:rsid w:val="009B7D9C"/>
    <w:rsid w:val="009B7E9E"/>
    <w:rsid w:val="009C0AF3"/>
    <w:rsid w:val="009C0FDC"/>
    <w:rsid w:val="009C37F6"/>
    <w:rsid w:val="009C4113"/>
    <w:rsid w:val="009C48A4"/>
    <w:rsid w:val="009C78DA"/>
    <w:rsid w:val="009D0D82"/>
    <w:rsid w:val="009D1448"/>
    <w:rsid w:val="009D3037"/>
    <w:rsid w:val="009D3606"/>
    <w:rsid w:val="009D4D51"/>
    <w:rsid w:val="009D5EBF"/>
    <w:rsid w:val="009D68F9"/>
    <w:rsid w:val="009D7BF5"/>
    <w:rsid w:val="009E0C85"/>
    <w:rsid w:val="009E1BBB"/>
    <w:rsid w:val="009E3BE1"/>
    <w:rsid w:val="009E3BED"/>
    <w:rsid w:val="009E48A7"/>
    <w:rsid w:val="009E700A"/>
    <w:rsid w:val="009F0D1A"/>
    <w:rsid w:val="009F2758"/>
    <w:rsid w:val="009F3138"/>
    <w:rsid w:val="009F3B31"/>
    <w:rsid w:val="009F4194"/>
    <w:rsid w:val="009F46F5"/>
    <w:rsid w:val="009F487C"/>
    <w:rsid w:val="009F52EE"/>
    <w:rsid w:val="009F6A15"/>
    <w:rsid w:val="009F714B"/>
    <w:rsid w:val="009F7FE8"/>
    <w:rsid w:val="00A00B02"/>
    <w:rsid w:val="00A01670"/>
    <w:rsid w:val="00A02190"/>
    <w:rsid w:val="00A03B4B"/>
    <w:rsid w:val="00A03FF3"/>
    <w:rsid w:val="00A04527"/>
    <w:rsid w:val="00A04674"/>
    <w:rsid w:val="00A05B08"/>
    <w:rsid w:val="00A06696"/>
    <w:rsid w:val="00A10276"/>
    <w:rsid w:val="00A11242"/>
    <w:rsid w:val="00A112AB"/>
    <w:rsid w:val="00A11B09"/>
    <w:rsid w:val="00A14DF3"/>
    <w:rsid w:val="00A1527B"/>
    <w:rsid w:val="00A1573E"/>
    <w:rsid w:val="00A1651F"/>
    <w:rsid w:val="00A16F42"/>
    <w:rsid w:val="00A20BEC"/>
    <w:rsid w:val="00A22230"/>
    <w:rsid w:val="00A222B2"/>
    <w:rsid w:val="00A2484C"/>
    <w:rsid w:val="00A24E91"/>
    <w:rsid w:val="00A26033"/>
    <w:rsid w:val="00A26B01"/>
    <w:rsid w:val="00A26EBF"/>
    <w:rsid w:val="00A302D0"/>
    <w:rsid w:val="00A3036A"/>
    <w:rsid w:val="00A31011"/>
    <w:rsid w:val="00A34CCF"/>
    <w:rsid w:val="00A34EA4"/>
    <w:rsid w:val="00A35324"/>
    <w:rsid w:val="00A37CFE"/>
    <w:rsid w:val="00A40481"/>
    <w:rsid w:val="00A4084D"/>
    <w:rsid w:val="00A43A11"/>
    <w:rsid w:val="00A43CE4"/>
    <w:rsid w:val="00A4440E"/>
    <w:rsid w:val="00A461D0"/>
    <w:rsid w:val="00A50647"/>
    <w:rsid w:val="00A51BFB"/>
    <w:rsid w:val="00A531EF"/>
    <w:rsid w:val="00A55A87"/>
    <w:rsid w:val="00A57245"/>
    <w:rsid w:val="00A60890"/>
    <w:rsid w:val="00A619C5"/>
    <w:rsid w:val="00A62053"/>
    <w:rsid w:val="00A63839"/>
    <w:rsid w:val="00A65F38"/>
    <w:rsid w:val="00A6780F"/>
    <w:rsid w:val="00A70E27"/>
    <w:rsid w:val="00A715CE"/>
    <w:rsid w:val="00A71687"/>
    <w:rsid w:val="00A71699"/>
    <w:rsid w:val="00A72A4A"/>
    <w:rsid w:val="00A72DE6"/>
    <w:rsid w:val="00A730C8"/>
    <w:rsid w:val="00A73439"/>
    <w:rsid w:val="00A77635"/>
    <w:rsid w:val="00A826DF"/>
    <w:rsid w:val="00A8317A"/>
    <w:rsid w:val="00A83C99"/>
    <w:rsid w:val="00A840F5"/>
    <w:rsid w:val="00A84D6F"/>
    <w:rsid w:val="00A85362"/>
    <w:rsid w:val="00A856D7"/>
    <w:rsid w:val="00A8573F"/>
    <w:rsid w:val="00A86601"/>
    <w:rsid w:val="00A86890"/>
    <w:rsid w:val="00A8776F"/>
    <w:rsid w:val="00A87D7B"/>
    <w:rsid w:val="00A91A4E"/>
    <w:rsid w:val="00A94143"/>
    <w:rsid w:val="00A94807"/>
    <w:rsid w:val="00A94E07"/>
    <w:rsid w:val="00A96E8D"/>
    <w:rsid w:val="00A979AE"/>
    <w:rsid w:val="00AA08DE"/>
    <w:rsid w:val="00AA0F5B"/>
    <w:rsid w:val="00AA145B"/>
    <w:rsid w:val="00AA2208"/>
    <w:rsid w:val="00AA2C3B"/>
    <w:rsid w:val="00AA3808"/>
    <w:rsid w:val="00AA3907"/>
    <w:rsid w:val="00AA6066"/>
    <w:rsid w:val="00AA6090"/>
    <w:rsid w:val="00AA726E"/>
    <w:rsid w:val="00AA7C09"/>
    <w:rsid w:val="00AB0164"/>
    <w:rsid w:val="00AB12AD"/>
    <w:rsid w:val="00AB136D"/>
    <w:rsid w:val="00AB1C3F"/>
    <w:rsid w:val="00AB2FCE"/>
    <w:rsid w:val="00AB529B"/>
    <w:rsid w:val="00AB6BE9"/>
    <w:rsid w:val="00AB6F8B"/>
    <w:rsid w:val="00AB73AC"/>
    <w:rsid w:val="00AC0243"/>
    <w:rsid w:val="00AC15A1"/>
    <w:rsid w:val="00AC5DD3"/>
    <w:rsid w:val="00AC7084"/>
    <w:rsid w:val="00AC70C1"/>
    <w:rsid w:val="00AD15DA"/>
    <w:rsid w:val="00AD3419"/>
    <w:rsid w:val="00AD3E15"/>
    <w:rsid w:val="00AD423E"/>
    <w:rsid w:val="00AD5DEA"/>
    <w:rsid w:val="00AD7B22"/>
    <w:rsid w:val="00AE25BA"/>
    <w:rsid w:val="00AE3D8E"/>
    <w:rsid w:val="00AE3F3A"/>
    <w:rsid w:val="00AE42A1"/>
    <w:rsid w:val="00AE563B"/>
    <w:rsid w:val="00AE5959"/>
    <w:rsid w:val="00AE7662"/>
    <w:rsid w:val="00AE7C67"/>
    <w:rsid w:val="00AF0C4C"/>
    <w:rsid w:val="00AF2CD5"/>
    <w:rsid w:val="00AF2EE4"/>
    <w:rsid w:val="00AF3250"/>
    <w:rsid w:val="00AF330D"/>
    <w:rsid w:val="00AF3C05"/>
    <w:rsid w:val="00AF54F3"/>
    <w:rsid w:val="00AF5BA9"/>
    <w:rsid w:val="00AF6D10"/>
    <w:rsid w:val="00AF7DC5"/>
    <w:rsid w:val="00AF7E48"/>
    <w:rsid w:val="00B030F9"/>
    <w:rsid w:val="00B04EA0"/>
    <w:rsid w:val="00B05879"/>
    <w:rsid w:val="00B0589A"/>
    <w:rsid w:val="00B05C21"/>
    <w:rsid w:val="00B10D40"/>
    <w:rsid w:val="00B12195"/>
    <w:rsid w:val="00B13AB2"/>
    <w:rsid w:val="00B152C3"/>
    <w:rsid w:val="00B15539"/>
    <w:rsid w:val="00B15667"/>
    <w:rsid w:val="00B15849"/>
    <w:rsid w:val="00B173E3"/>
    <w:rsid w:val="00B17832"/>
    <w:rsid w:val="00B17E54"/>
    <w:rsid w:val="00B20AE0"/>
    <w:rsid w:val="00B21012"/>
    <w:rsid w:val="00B21670"/>
    <w:rsid w:val="00B24A96"/>
    <w:rsid w:val="00B24E57"/>
    <w:rsid w:val="00B25C34"/>
    <w:rsid w:val="00B274A6"/>
    <w:rsid w:val="00B313A0"/>
    <w:rsid w:val="00B31B68"/>
    <w:rsid w:val="00B31EAF"/>
    <w:rsid w:val="00B3291A"/>
    <w:rsid w:val="00B32DAD"/>
    <w:rsid w:val="00B332B4"/>
    <w:rsid w:val="00B333D9"/>
    <w:rsid w:val="00B34A01"/>
    <w:rsid w:val="00B36065"/>
    <w:rsid w:val="00B361B7"/>
    <w:rsid w:val="00B37731"/>
    <w:rsid w:val="00B37FFB"/>
    <w:rsid w:val="00B40085"/>
    <w:rsid w:val="00B40481"/>
    <w:rsid w:val="00B41F58"/>
    <w:rsid w:val="00B43A52"/>
    <w:rsid w:val="00B43AD9"/>
    <w:rsid w:val="00B445B9"/>
    <w:rsid w:val="00B4461A"/>
    <w:rsid w:val="00B44F6F"/>
    <w:rsid w:val="00B451B0"/>
    <w:rsid w:val="00B45E59"/>
    <w:rsid w:val="00B46354"/>
    <w:rsid w:val="00B472E3"/>
    <w:rsid w:val="00B513A2"/>
    <w:rsid w:val="00B51C4B"/>
    <w:rsid w:val="00B52164"/>
    <w:rsid w:val="00B53874"/>
    <w:rsid w:val="00B53C25"/>
    <w:rsid w:val="00B5504E"/>
    <w:rsid w:val="00B55E7E"/>
    <w:rsid w:val="00B60E42"/>
    <w:rsid w:val="00B619B1"/>
    <w:rsid w:val="00B62C2B"/>
    <w:rsid w:val="00B65344"/>
    <w:rsid w:val="00B711BC"/>
    <w:rsid w:val="00B716F7"/>
    <w:rsid w:val="00B719D8"/>
    <w:rsid w:val="00B71F49"/>
    <w:rsid w:val="00B72402"/>
    <w:rsid w:val="00B72FCA"/>
    <w:rsid w:val="00B75A5F"/>
    <w:rsid w:val="00B75B89"/>
    <w:rsid w:val="00B75B9F"/>
    <w:rsid w:val="00B81670"/>
    <w:rsid w:val="00B819B9"/>
    <w:rsid w:val="00B82D0C"/>
    <w:rsid w:val="00B83209"/>
    <w:rsid w:val="00B83440"/>
    <w:rsid w:val="00B83518"/>
    <w:rsid w:val="00B83A4F"/>
    <w:rsid w:val="00B83F50"/>
    <w:rsid w:val="00B8410E"/>
    <w:rsid w:val="00B85017"/>
    <w:rsid w:val="00B852E4"/>
    <w:rsid w:val="00B8543E"/>
    <w:rsid w:val="00B85A6C"/>
    <w:rsid w:val="00B8668F"/>
    <w:rsid w:val="00B8675E"/>
    <w:rsid w:val="00B8760C"/>
    <w:rsid w:val="00B90E6A"/>
    <w:rsid w:val="00B91B23"/>
    <w:rsid w:val="00B92027"/>
    <w:rsid w:val="00B925C1"/>
    <w:rsid w:val="00B932D0"/>
    <w:rsid w:val="00B93848"/>
    <w:rsid w:val="00B93F51"/>
    <w:rsid w:val="00B95717"/>
    <w:rsid w:val="00B97091"/>
    <w:rsid w:val="00BA1979"/>
    <w:rsid w:val="00BA1A2E"/>
    <w:rsid w:val="00BA200C"/>
    <w:rsid w:val="00BA204F"/>
    <w:rsid w:val="00BA2C4F"/>
    <w:rsid w:val="00BA3715"/>
    <w:rsid w:val="00BA5397"/>
    <w:rsid w:val="00BA677C"/>
    <w:rsid w:val="00BA74B7"/>
    <w:rsid w:val="00BB0E7C"/>
    <w:rsid w:val="00BB1219"/>
    <w:rsid w:val="00BB1980"/>
    <w:rsid w:val="00BB404C"/>
    <w:rsid w:val="00BB4CC2"/>
    <w:rsid w:val="00BB5B12"/>
    <w:rsid w:val="00BB6601"/>
    <w:rsid w:val="00BB747D"/>
    <w:rsid w:val="00BB74B0"/>
    <w:rsid w:val="00BC04BB"/>
    <w:rsid w:val="00BC207D"/>
    <w:rsid w:val="00BC27A6"/>
    <w:rsid w:val="00BC4600"/>
    <w:rsid w:val="00BC49B9"/>
    <w:rsid w:val="00BC580F"/>
    <w:rsid w:val="00BC6C92"/>
    <w:rsid w:val="00BC7469"/>
    <w:rsid w:val="00BD2412"/>
    <w:rsid w:val="00BD2AEC"/>
    <w:rsid w:val="00BD33D0"/>
    <w:rsid w:val="00BD375B"/>
    <w:rsid w:val="00BD57AD"/>
    <w:rsid w:val="00BD6FB9"/>
    <w:rsid w:val="00BD7CDD"/>
    <w:rsid w:val="00BE1057"/>
    <w:rsid w:val="00BE134A"/>
    <w:rsid w:val="00BE1BFA"/>
    <w:rsid w:val="00BE1C12"/>
    <w:rsid w:val="00BE2495"/>
    <w:rsid w:val="00BE33C5"/>
    <w:rsid w:val="00BE4682"/>
    <w:rsid w:val="00BE67D0"/>
    <w:rsid w:val="00BE6DC7"/>
    <w:rsid w:val="00BE7AC2"/>
    <w:rsid w:val="00BF2320"/>
    <w:rsid w:val="00BF240A"/>
    <w:rsid w:val="00BF3B7E"/>
    <w:rsid w:val="00BF5F3D"/>
    <w:rsid w:val="00BF62DC"/>
    <w:rsid w:val="00C006F2"/>
    <w:rsid w:val="00C00A27"/>
    <w:rsid w:val="00C01307"/>
    <w:rsid w:val="00C0360F"/>
    <w:rsid w:val="00C040A3"/>
    <w:rsid w:val="00C04FDE"/>
    <w:rsid w:val="00C05A42"/>
    <w:rsid w:val="00C07695"/>
    <w:rsid w:val="00C10A4D"/>
    <w:rsid w:val="00C125CC"/>
    <w:rsid w:val="00C12CE4"/>
    <w:rsid w:val="00C1306D"/>
    <w:rsid w:val="00C15CB3"/>
    <w:rsid w:val="00C16896"/>
    <w:rsid w:val="00C231AC"/>
    <w:rsid w:val="00C2415F"/>
    <w:rsid w:val="00C27CB7"/>
    <w:rsid w:val="00C30B80"/>
    <w:rsid w:val="00C30C67"/>
    <w:rsid w:val="00C31F7F"/>
    <w:rsid w:val="00C3263D"/>
    <w:rsid w:val="00C3268F"/>
    <w:rsid w:val="00C3339E"/>
    <w:rsid w:val="00C33846"/>
    <w:rsid w:val="00C3393B"/>
    <w:rsid w:val="00C347AF"/>
    <w:rsid w:val="00C35133"/>
    <w:rsid w:val="00C3622F"/>
    <w:rsid w:val="00C3673D"/>
    <w:rsid w:val="00C36763"/>
    <w:rsid w:val="00C36E41"/>
    <w:rsid w:val="00C40B05"/>
    <w:rsid w:val="00C41CA5"/>
    <w:rsid w:val="00C42503"/>
    <w:rsid w:val="00C449B1"/>
    <w:rsid w:val="00C459DE"/>
    <w:rsid w:val="00C46523"/>
    <w:rsid w:val="00C46DF4"/>
    <w:rsid w:val="00C46FC1"/>
    <w:rsid w:val="00C476EF"/>
    <w:rsid w:val="00C50127"/>
    <w:rsid w:val="00C5231E"/>
    <w:rsid w:val="00C54B69"/>
    <w:rsid w:val="00C56914"/>
    <w:rsid w:val="00C572F3"/>
    <w:rsid w:val="00C57D8A"/>
    <w:rsid w:val="00C6159D"/>
    <w:rsid w:val="00C62445"/>
    <w:rsid w:val="00C63D7B"/>
    <w:rsid w:val="00C6425F"/>
    <w:rsid w:val="00C643CC"/>
    <w:rsid w:val="00C65096"/>
    <w:rsid w:val="00C65567"/>
    <w:rsid w:val="00C65F83"/>
    <w:rsid w:val="00C66623"/>
    <w:rsid w:val="00C672B5"/>
    <w:rsid w:val="00C67D2D"/>
    <w:rsid w:val="00C70E88"/>
    <w:rsid w:val="00C71B32"/>
    <w:rsid w:val="00C72D9E"/>
    <w:rsid w:val="00C747F5"/>
    <w:rsid w:val="00C74E00"/>
    <w:rsid w:val="00C75251"/>
    <w:rsid w:val="00C75BA5"/>
    <w:rsid w:val="00C77732"/>
    <w:rsid w:val="00C81826"/>
    <w:rsid w:val="00C822CB"/>
    <w:rsid w:val="00C82ED5"/>
    <w:rsid w:val="00C84225"/>
    <w:rsid w:val="00C84569"/>
    <w:rsid w:val="00C84705"/>
    <w:rsid w:val="00C92089"/>
    <w:rsid w:val="00C92338"/>
    <w:rsid w:val="00C93946"/>
    <w:rsid w:val="00C93D53"/>
    <w:rsid w:val="00C94837"/>
    <w:rsid w:val="00C94DC4"/>
    <w:rsid w:val="00C95BF2"/>
    <w:rsid w:val="00C965CC"/>
    <w:rsid w:val="00C96F12"/>
    <w:rsid w:val="00CA0F30"/>
    <w:rsid w:val="00CA4350"/>
    <w:rsid w:val="00CA5D0B"/>
    <w:rsid w:val="00CA5DF1"/>
    <w:rsid w:val="00CA604A"/>
    <w:rsid w:val="00CA608E"/>
    <w:rsid w:val="00CB019E"/>
    <w:rsid w:val="00CB1BD9"/>
    <w:rsid w:val="00CB2C0E"/>
    <w:rsid w:val="00CB33D8"/>
    <w:rsid w:val="00CB3D19"/>
    <w:rsid w:val="00CB44A8"/>
    <w:rsid w:val="00CB49DF"/>
    <w:rsid w:val="00CB515A"/>
    <w:rsid w:val="00CB71F8"/>
    <w:rsid w:val="00CC03F5"/>
    <w:rsid w:val="00CC1489"/>
    <w:rsid w:val="00CC2A58"/>
    <w:rsid w:val="00CC56D5"/>
    <w:rsid w:val="00CC591C"/>
    <w:rsid w:val="00CC5BF0"/>
    <w:rsid w:val="00CD11B0"/>
    <w:rsid w:val="00CD2397"/>
    <w:rsid w:val="00CD3134"/>
    <w:rsid w:val="00CD5658"/>
    <w:rsid w:val="00CD68F3"/>
    <w:rsid w:val="00CD6B97"/>
    <w:rsid w:val="00CD6CB2"/>
    <w:rsid w:val="00CD721E"/>
    <w:rsid w:val="00CE069F"/>
    <w:rsid w:val="00CE102C"/>
    <w:rsid w:val="00CE112B"/>
    <w:rsid w:val="00CE37FE"/>
    <w:rsid w:val="00CE41F6"/>
    <w:rsid w:val="00CE600E"/>
    <w:rsid w:val="00CE6229"/>
    <w:rsid w:val="00CF1AEB"/>
    <w:rsid w:val="00CF206F"/>
    <w:rsid w:val="00CF2D2B"/>
    <w:rsid w:val="00CF3585"/>
    <w:rsid w:val="00CF3890"/>
    <w:rsid w:val="00D0124A"/>
    <w:rsid w:val="00D01846"/>
    <w:rsid w:val="00D01DD5"/>
    <w:rsid w:val="00D03F27"/>
    <w:rsid w:val="00D0589B"/>
    <w:rsid w:val="00D06316"/>
    <w:rsid w:val="00D06A02"/>
    <w:rsid w:val="00D07246"/>
    <w:rsid w:val="00D0729A"/>
    <w:rsid w:val="00D077DF"/>
    <w:rsid w:val="00D07E29"/>
    <w:rsid w:val="00D124DA"/>
    <w:rsid w:val="00D12BFB"/>
    <w:rsid w:val="00D13ED1"/>
    <w:rsid w:val="00D14192"/>
    <w:rsid w:val="00D14861"/>
    <w:rsid w:val="00D2019C"/>
    <w:rsid w:val="00D21899"/>
    <w:rsid w:val="00D21C1D"/>
    <w:rsid w:val="00D21D10"/>
    <w:rsid w:val="00D2236E"/>
    <w:rsid w:val="00D228CF"/>
    <w:rsid w:val="00D22DC4"/>
    <w:rsid w:val="00D2469A"/>
    <w:rsid w:val="00D25321"/>
    <w:rsid w:val="00D2652C"/>
    <w:rsid w:val="00D2698B"/>
    <w:rsid w:val="00D32163"/>
    <w:rsid w:val="00D32A70"/>
    <w:rsid w:val="00D3378D"/>
    <w:rsid w:val="00D34C7B"/>
    <w:rsid w:val="00D35E9B"/>
    <w:rsid w:val="00D37C93"/>
    <w:rsid w:val="00D42E89"/>
    <w:rsid w:val="00D42EEB"/>
    <w:rsid w:val="00D43491"/>
    <w:rsid w:val="00D443FC"/>
    <w:rsid w:val="00D450B4"/>
    <w:rsid w:val="00D4548E"/>
    <w:rsid w:val="00D455AB"/>
    <w:rsid w:val="00D46B67"/>
    <w:rsid w:val="00D47D11"/>
    <w:rsid w:val="00D47FDE"/>
    <w:rsid w:val="00D50DD4"/>
    <w:rsid w:val="00D527CA"/>
    <w:rsid w:val="00D52BEF"/>
    <w:rsid w:val="00D554EC"/>
    <w:rsid w:val="00D5594C"/>
    <w:rsid w:val="00D56264"/>
    <w:rsid w:val="00D56577"/>
    <w:rsid w:val="00D572AC"/>
    <w:rsid w:val="00D57A72"/>
    <w:rsid w:val="00D60F40"/>
    <w:rsid w:val="00D6136C"/>
    <w:rsid w:val="00D617A5"/>
    <w:rsid w:val="00D61D5A"/>
    <w:rsid w:val="00D61EDE"/>
    <w:rsid w:val="00D63441"/>
    <w:rsid w:val="00D6461C"/>
    <w:rsid w:val="00D656DD"/>
    <w:rsid w:val="00D659C6"/>
    <w:rsid w:val="00D717D9"/>
    <w:rsid w:val="00D73370"/>
    <w:rsid w:val="00D7380D"/>
    <w:rsid w:val="00D73E22"/>
    <w:rsid w:val="00D74E79"/>
    <w:rsid w:val="00D76B7B"/>
    <w:rsid w:val="00D83AC1"/>
    <w:rsid w:val="00D84A2A"/>
    <w:rsid w:val="00D85F30"/>
    <w:rsid w:val="00D87710"/>
    <w:rsid w:val="00D90278"/>
    <w:rsid w:val="00D9095F"/>
    <w:rsid w:val="00D91342"/>
    <w:rsid w:val="00D94847"/>
    <w:rsid w:val="00D94E38"/>
    <w:rsid w:val="00D95867"/>
    <w:rsid w:val="00D9596A"/>
    <w:rsid w:val="00D96175"/>
    <w:rsid w:val="00D96687"/>
    <w:rsid w:val="00D97C9C"/>
    <w:rsid w:val="00DA0EBF"/>
    <w:rsid w:val="00DA1634"/>
    <w:rsid w:val="00DA1A09"/>
    <w:rsid w:val="00DA3BA3"/>
    <w:rsid w:val="00DA3D45"/>
    <w:rsid w:val="00DA49A3"/>
    <w:rsid w:val="00DA4E03"/>
    <w:rsid w:val="00DA6554"/>
    <w:rsid w:val="00DB038D"/>
    <w:rsid w:val="00DB14F1"/>
    <w:rsid w:val="00DB27B0"/>
    <w:rsid w:val="00DB3AEE"/>
    <w:rsid w:val="00DB3CFD"/>
    <w:rsid w:val="00DB418F"/>
    <w:rsid w:val="00DB6D0A"/>
    <w:rsid w:val="00DB71E5"/>
    <w:rsid w:val="00DB78BB"/>
    <w:rsid w:val="00DB7DD7"/>
    <w:rsid w:val="00DC019A"/>
    <w:rsid w:val="00DC091F"/>
    <w:rsid w:val="00DC0BDE"/>
    <w:rsid w:val="00DC0BE0"/>
    <w:rsid w:val="00DC26C4"/>
    <w:rsid w:val="00DC2835"/>
    <w:rsid w:val="00DC3D0B"/>
    <w:rsid w:val="00DC4C5B"/>
    <w:rsid w:val="00DC533B"/>
    <w:rsid w:val="00DC60B5"/>
    <w:rsid w:val="00DD0DBB"/>
    <w:rsid w:val="00DD3211"/>
    <w:rsid w:val="00DD4786"/>
    <w:rsid w:val="00DD5C5C"/>
    <w:rsid w:val="00DE06B7"/>
    <w:rsid w:val="00DE1092"/>
    <w:rsid w:val="00DE1D30"/>
    <w:rsid w:val="00DE3F7F"/>
    <w:rsid w:val="00DE48B3"/>
    <w:rsid w:val="00DE4DD8"/>
    <w:rsid w:val="00DE4EBB"/>
    <w:rsid w:val="00DE52D7"/>
    <w:rsid w:val="00DE6E62"/>
    <w:rsid w:val="00DF01C9"/>
    <w:rsid w:val="00DF1C35"/>
    <w:rsid w:val="00DF2B02"/>
    <w:rsid w:val="00DF3DCA"/>
    <w:rsid w:val="00DF50C3"/>
    <w:rsid w:val="00DF5C68"/>
    <w:rsid w:val="00DF7168"/>
    <w:rsid w:val="00E01F3D"/>
    <w:rsid w:val="00E02A95"/>
    <w:rsid w:val="00E02ECC"/>
    <w:rsid w:val="00E02F3A"/>
    <w:rsid w:val="00E03777"/>
    <w:rsid w:val="00E05149"/>
    <w:rsid w:val="00E10B4D"/>
    <w:rsid w:val="00E12856"/>
    <w:rsid w:val="00E12B8D"/>
    <w:rsid w:val="00E12DE1"/>
    <w:rsid w:val="00E13DDD"/>
    <w:rsid w:val="00E161B2"/>
    <w:rsid w:val="00E1657D"/>
    <w:rsid w:val="00E168B7"/>
    <w:rsid w:val="00E20495"/>
    <w:rsid w:val="00E211FF"/>
    <w:rsid w:val="00E22B79"/>
    <w:rsid w:val="00E22CDC"/>
    <w:rsid w:val="00E23711"/>
    <w:rsid w:val="00E23825"/>
    <w:rsid w:val="00E25EE8"/>
    <w:rsid w:val="00E25EEA"/>
    <w:rsid w:val="00E26113"/>
    <w:rsid w:val="00E315DD"/>
    <w:rsid w:val="00E31C85"/>
    <w:rsid w:val="00E32E31"/>
    <w:rsid w:val="00E33470"/>
    <w:rsid w:val="00E337F4"/>
    <w:rsid w:val="00E33DEE"/>
    <w:rsid w:val="00E34AE7"/>
    <w:rsid w:val="00E354A1"/>
    <w:rsid w:val="00E3558D"/>
    <w:rsid w:val="00E35D6D"/>
    <w:rsid w:val="00E3777D"/>
    <w:rsid w:val="00E42464"/>
    <w:rsid w:val="00E42561"/>
    <w:rsid w:val="00E42694"/>
    <w:rsid w:val="00E4326C"/>
    <w:rsid w:val="00E46B76"/>
    <w:rsid w:val="00E46F92"/>
    <w:rsid w:val="00E47539"/>
    <w:rsid w:val="00E47D37"/>
    <w:rsid w:val="00E50137"/>
    <w:rsid w:val="00E505C4"/>
    <w:rsid w:val="00E50FE8"/>
    <w:rsid w:val="00E54DCA"/>
    <w:rsid w:val="00E55005"/>
    <w:rsid w:val="00E568D0"/>
    <w:rsid w:val="00E57055"/>
    <w:rsid w:val="00E570D7"/>
    <w:rsid w:val="00E60788"/>
    <w:rsid w:val="00E61BAE"/>
    <w:rsid w:val="00E620D4"/>
    <w:rsid w:val="00E62284"/>
    <w:rsid w:val="00E635D3"/>
    <w:rsid w:val="00E63C2C"/>
    <w:rsid w:val="00E65AF5"/>
    <w:rsid w:val="00E66ED4"/>
    <w:rsid w:val="00E70D68"/>
    <w:rsid w:val="00E70F70"/>
    <w:rsid w:val="00E71053"/>
    <w:rsid w:val="00E7222E"/>
    <w:rsid w:val="00E72A36"/>
    <w:rsid w:val="00E73A9A"/>
    <w:rsid w:val="00E75661"/>
    <w:rsid w:val="00E75BCD"/>
    <w:rsid w:val="00E7665F"/>
    <w:rsid w:val="00E8088D"/>
    <w:rsid w:val="00E80B53"/>
    <w:rsid w:val="00E81369"/>
    <w:rsid w:val="00E846C8"/>
    <w:rsid w:val="00E847F1"/>
    <w:rsid w:val="00E84D7F"/>
    <w:rsid w:val="00E853AE"/>
    <w:rsid w:val="00E90574"/>
    <w:rsid w:val="00E90BCA"/>
    <w:rsid w:val="00E92056"/>
    <w:rsid w:val="00E92370"/>
    <w:rsid w:val="00E923EA"/>
    <w:rsid w:val="00E927E8"/>
    <w:rsid w:val="00E928D0"/>
    <w:rsid w:val="00E9741C"/>
    <w:rsid w:val="00E97F6F"/>
    <w:rsid w:val="00EA109E"/>
    <w:rsid w:val="00EA1274"/>
    <w:rsid w:val="00EA1C12"/>
    <w:rsid w:val="00EA22E8"/>
    <w:rsid w:val="00EA26AB"/>
    <w:rsid w:val="00EA2A4E"/>
    <w:rsid w:val="00EA6363"/>
    <w:rsid w:val="00EA6A3B"/>
    <w:rsid w:val="00EA6EFC"/>
    <w:rsid w:val="00EA79F8"/>
    <w:rsid w:val="00EB0530"/>
    <w:rsid w:val="00EB23D2"/>
    <w:rsid w:val="00EB291F"/>
    <w:rsid w:val="00EB45C6"/>
    <w:rsid w:val="00EB5141"/>
    <w:rsid w:val="00EB795A"/>
    <w:rsid w:val="00EC0350"/>
    <w:rsid w:val="00EC0666"/>
    <w:rsid w:val="00EC06D8"/>
    <w:rsid w:val="00EC3569"/>
    <w:rsid w:val="00EC5D57"/>
    <w:rsid w:val="00EC6100"/>
    <w:rsid w:val="00EC6718"/>
    <w:rsid w:val="00EC74E9"/>
    <w:rsid w:val="00EC7792"/>
    <w:rsid w:val="00ED1ADE"/>
    <w:rsid w:val="00ED2242"/>
    <w:rsid w:val="00ED26A0"/>
    <w:rsid w:val="00ED3848"/>
    <w:rsid w:val="00ED58A6"/>
    <w:rsid w:val="00ED6275"/>
    <w:rsid w:val="00ED62D7"/>
    <w:rsid w:val="00ED697D"/>
    <w:rsid w:val="00EE16D1"/>
    <w:rsid w:val="00EE1E36"/>
    <w:rsid w:val="00EE3563"/>
    <w:rsid w:val="00EE4ABD"/>
    <w:rsid w:val="00EE5016"/>
    <w:rsid w:val="00EE7554"/>
    <w:rsid w:val="00EE75A4"/>
    <w:rsid w:val="00EE7CEC"/>
    <w:rsid w:val="00EF0024"/>
    <w:rsid w:val="00EF1148"/>
    <w:rsid w:val="00EF1405"/>
    <w:rsid w:val="00EF1466"/>
    <w:rsid w:val="00EF1D89"/>
    <w:rsid w:val="00EF3770"/>
    <w:rsid w:val="00EF39B8"/>
    <w:rsid w:val="00EF462D"/>
    <w:rsid w:val="00EF6352"/>
    <w:rsid w:val="00EF6443"/>
    <w:rsid w:val="00EF7296"/>
    <w:rsid w:val="00EF7A30"/>
    <w:rsid w:val="00F009DF"/>
    <w:rsid w:val="00F015D6"/>
    <w:rsid w:val="00F03056"/>
    <w:rsid w:val="00F06412"/>
    <w:rsid w:val="00F06970"/>
    <w:rsid w:val="00F07E95"/>
    <w:rsid w:val="00F10472"/>
    <w:rsid w:val="00F10B05"/>
    <w:rsid w:val="00F10E80"/>
    <w:rsid w:val="00F12785"/>
    <w:rsid w:val="00F13136"/>
    <w:rsid w:val="00F13BD2"/>
    <w:rsid w:val="00F13D50"/>
    <w:rsid w:val="00F20E32"/>
    <w:rsid w:val="00F22421"/>
    <w:rsid w:val="00F224A4"/>
    <w:rsid w:val="00F257E6"/>
    <w:rsid w:val="00F26035"/>
    <w:rsid w:val="00F26210"/>
    <w:rsid w:val="00F262C6"/>
    <w:rsid w:val="00F27272"/>
    <w:rsid w:val="00F276CD"/>
    <w:rsid w:val="00F27996"/>
    <w:rsid w:val="00F279D4"/>
    <w:rsid w:val="00F30648"/>
    <w:rsid w:val="00F322A2"/>
    <w:rsid w:val="00F329E6"/>
    <w:rsid w:val="00F335D2"/>
    <w:rsid w:val="00F33D01"/>
    <w:rsid w:val="00F3611E"/>
    <w:rsid w:val="00F36128"/>
    <w:rsid w:val="00F36BC4"/>
    <w:rsid w:val="00F37077"/>
    <w:rsid w:val="00F373FF"/>
    <w:rsid w:val="00F40D17"/>
    <w:rsid w:val="00F41B3A"/>
    <w:rsid w:val="00F43D10"/>
    <w:rsid w:val="00F444BB"/>
    <w:rsid w:val="00F45A4C"/>
    <w:rsid w:val="00F46FDF"/>
    <w:rsid w:val="00F50CB6"/>
    <w:rsid w:val="00F51141"/>
    <w:rsid w:val="00F5301B"/>
    <w:rsid w:val="00F53777"/>
    <w:rsid w:val="00F54868"/>
    <w:rsid w:val="00F54E6B"/>
    <w:rsid w:val="00F5535C"/>
    <w:rsid w:val="00F56212"/>
    <w:rsid w:val="00F621C7"/>
    <w:rsid w:val="00F626D6"/>
    <w:rsid w:val="00F6423D"/>
    <w:rsid w:val="00F65C9E"/>
    <w:rsid w:val="00F67FAE"/>
    <w:rsid w:val="00F7068F"/>
    <w:rsid w:val="00F712F5"/>
    <w:rsid w:val="00F713A5"/>
    <w:rsid w:val="00F7166B"/>
    <w:rsid w:val="00F71AE9"/>
    <w:rsid w:val="00F71B7F"/>
    <w:rsid w:val="00F72521"/>
    <w:rsid w:val="00F72A66"/>
    <w:rsid w:val="00F75953"/>
    <w:rsid w:val="00F766B0"/>
    <w:rsid w:val="00F80B0C"/>
    <w:rsid w:val="00F85B46"/>
    <w:rsid w:val="00F8670C"/>
    <w:rsid w:val="00F9011F"/>
    <w:rsid w:val="00F9027C"/>
    <w:rsid w:val="00F90442"/>
    <w:rsid w:val="00F91129"/>
    <w:rsid w:val="00F913B6"/>
    <w:rsid w:val="00F928B5"/>
    <w:rsid w:val="00F92AB1"/>
    <w:rsid w:val="00F93385"/>
    <w:rsid w:val="00F94AF9"/>
    <w:rsid w:val="00F960E0"/>
    <w:rsid w:val="00F971D0"/>
    <w:rsid w:val="00FA045D"/>
    <w:rsid w:val="00FA0499"/>
    <w:rsid w:val="00FA0744"/>
    <w:rsid w:val="00FA0F72"/>
    <w:rsid w:val="00FA0F73"/>
    <w:rsid w:val="00FA1A4E"/>
    <w:rsid w:val="00FA30DF"/>
    <w:rsid w:val="00FA34DD"/>
    <w:rsid w:val="00FA3C22"/>
    <w:rsid w:val="00FA3D02"/>
    <w:rsid w:val="00FA4790"/>
    <w:rsid w:val="00FA4E28"/>
    <w:rsid w:val="00FA607B"/>
    <w:rsid w:val="00FA609F"/>
    <w:rsid w:val="00FA69AF"/>
    <w:rsid w:val="00FA7540"/>
    <w:rsid w:val="00FB05F6"/>
    <w:rsid w:val="00FB0C02"/>
    <w:rsid w:val="00FB1B3B"/>
    <w:rsid w:val="00FB2120"/>
    <w:rsid w:val="00FB223A"/>
    <w:rsid w:val="00FB2E59"/>
    <w:rsid w:val="00FB35E4"/>
    <w:rsid w:val="00FB4471"/>
    <w:rsid w:val="00FB62E8"/>
    <w:rsid w:val="00FC127A"/>
    <w:rsid w:val="00FC153D"/>
    <w:rsid w:val="00FC2390"/>
    <w:rsid w:val="00FC41DE"/>
    <w:rsid w:val="00FC5D4E"/>
    <w:rsid w:val="00FC6183"/>
    <w:rsid w:val="00FC7265"/>
    <w:rsid w:val="00FC76CF"/>
    <w:rsid w:val="00FC77FE"/>
    <w:rsid w:val="00FD0211"/>
    <w:rsid w:val="00FD14AC"/>
    <w:rsid w:val="00FD1D8A"/>
    <w:rsid w:val="00FD30E6"/>
    <w:rsid w:val="00FD373F"/>
    <w:rsid w:val="00FD3FC0"/>
    <w:rsid w:val="00FE0B11"/>
    <w:rsid w:val="00FE2708"/>
    <w:rsid w:val="00FE35F8"/>
    <w:rsid w:val="00FE5474"/>
    <w:rsid w:val="00FE608A"/>
    <w:rsid w:val="00FE70AC"/>
    <w:rsid w:val="00FE73D0"/>
    <w:rsid w:val="00FE7B74"/>
    <w:rsid w:val="00FE7F2B"/>
    <w:rsid w:val="00FF177B"/>
    <w:rsid w:val="00FF49B7"/>
    <w:rsid w:val="00FF50E8"/>
    <w:rsid w:val="00FF5C77"/>
    <w:rsid w:val="00FF5FB0"/>
    <w:rsid w:val="00FF6489"/>
    <w:rsid w:val="00FF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3"/>
  </w:style>
  <w:style w:type="paragraph" w:styleId="1">
    <w:name w:val="heading 1"/>
    <w:basedOn w:val="a"/>
    <w:next w:val="a"/>
    <w:link w:val="10"/>
    <w:uiPriority w:val="9"/>
    <w:qFormat/>
    <w:rsid w:val="00083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E25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5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A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83FA4"/>
  </w:style>
  <w:style w:type="paragraph" w:styleId="a3">
    <w:name w:val="Normal (Web)"/>
    <w:basedOn w:val="a"/>
    <w:uiPriority w:val="99"/>
    <w:unhideWhenUsed/>
    <w:rsid w:val="00083FA4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83FA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083FA4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083FA4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a9"/>
    <w:semiHidden/>
    <w:unhideWhenUsed/>
    <w:rsid w:val="00083FA4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3FA4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unhideWhenUsed/>
    <w:rsid w:val="00083FA4"/>
    <w:rPr>
      <w:rFonts w:cs="Tahoma"/>
    </w:rPr>
  </w:style>
  <w:style w:type="paragraph" w:styleId="ab">
    <w:name w:val="Subtitle"/>
    <w:basedOn w:val="a"/>
    <w:next w:val="a"/>
    <w:link w:val="ac"/>
    <w:qFormat/>
    <w:rsid w:val="00083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083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83FA4"/>
    <w:pPr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3FA4"/>
    <w:rPr>
      <w:rFonts w:ascii="Calibri" w:eastAsia="Calibri" w:hAnsi="Calibri" w:cs="Times New Roman"/>
      <w:lang w:eastAsia="ar-SA"/>
    </w:rPr>
  </w:style>
  <w:style w:type="paragraph" w:styleId="af">
    <w:name w:val="Balloon Text"/>
    <w:basedOn w:val="a"/>
    <w:link w:val="af0"/>
    <w:uiPriority w:val="99"/>
    <w:unhideWhenUsed/>
    <w:rsid w:val="00083FA4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rsid w:val="00083FA4"/>
    <w:rPr>
      <w:rFonts w:ascii="Tahoma" w:eastAsia="Calibri" w:hAnsi="Tahoma" w:cs="Times New Roman"/>
      <w:sz w:val="16"/>
      <w:szCs w:val="16"/>
      <w:lang w:eastAsia="ar-SA"/>
    </w:rPr>
  </w:style>
  <w:style w:type="paragraph" w:styleId="af1">
    <w:name w:val="No Spacing"/>
    <w:uiPriority w:val="1"/>
    <w:qFormat/>
    <w:rsid w:val="00083FA4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83F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1"/>
    <w:basedOn w:val="a"/>
    <w:next w:val="a8"/>
    <w:rsid w:val="00083FA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7">
    <w:name w:val="Название7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6">
    <w:name w:val="Название6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5">
    <w:name w:val="Название5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4">
    <w:name w:val="Название4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31">
    <w:name w:val="Название3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21">
    <w:name w:val="Название2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13">
    <w:name w:val="Название1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af3">
    <w:name w:val="Содержимое таблицы"/>
    <w:basedOn w:val="a"/>
    <w:rsid w:val="00083FA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083FA4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083FA4"/>
  </w:style>
  <w:style w:type="paragraph" w:customStyle="1" w:styleId="af6">
    <w:name w:val="Комментарий"/>
    <w:basedOn w:val="a"/>
    <w:next w:val="a"/>
    <w:uiPriority w:val="99"/>
    <w:rsid w:val="00083FA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3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083FA4"/>
    <w:rPr>
      <w:rFonts w:ascii="Symbol" w:hAnsi="Symbol" w:hint="default"/>
    </w:rPr>
  </w:style>
  <w:style w:type="character" w:customStyle="1" w:styleId="WW8Num2z0">
    <w:name w:val="WW8Num2z0"/>
    <w:rsid w:val="00083FA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83FA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083FA4"/>
    <w:rPr>
      <w:rFonts w:ascii="Times New Roman" w:hAnsi="Times New Roman" w:cs="Times New Roman" w:hint="default"/>
    </w:rPr>
  </w:style>
  <w:style w:type="character" w:customStyle="1" w:styleId="WW8Num5z0">
    <w:name w:val="WW8Num5z0"/>
    <w:rsid w:val="00083FA4"/>
    <w:rPr>
      <w:rFonts w:ascii="Times New Roman" w:eastAsia="Calibri" w:hAnsi="Times New Roman" w:cs="Times New Roman" w:hint="default"/>
    </w:rPr>
  </w:style>
  <w:style w:type="character" w:customStyle="1" w:styleId="WW8Num6z0">
    <w:name w:val="WW8Num6z0"/>
    <w:rsid w:val="00083FA4"/>
    <w:rPr>
      <w:rFonts w:ascii="Times New Roman" w:eastAsia="Calibri" w:hAnsi="Times New Roman" w:cs="Times New Roman" w:hint="default"/>
    </w:rPr>
  </w:style>
  <w:style w:type="character" w:customStyle="1" w:styleId="Absatz-Standardschriftart">
    <w:name w:val="Absatz-Standardschriftart"/>
    <w:rsid w:val="00083FA4"/>
  </w:style>
  <w:style w:type="character" w:customStyle="1" w:styleId="WW8Num6z1">
    <w:name w:val="WW8Num6z1"/>
    <w:rsid w:val="00083FA4"/>
    <w:rPr>
      <w:rFonts w:ascii="Courier New" w:hAnsi="Courier New" w:cs="Courier New" w:hint="default"/>
    </w:rPr>
  </w:style>
  <w:style w:type="character" w:customStyle="1" w:styleId="WW8Num6z2">
    <w:name w:val="WW8Num6z2"/>
    <w:rsid w:val="00083FA4"/>
    <w:rPr>
      <w:rFonts w:ascii="Wingdings" w:hAnsi="Wingdings" w:hint="default"/>
    </w:rPr>
  </w:style>
  <w:style w:type="character" w:customStyle="1" w:styleId="WW8Num6z3">
    <w:name w:val="WW8Num6z3"/>
    <w:rsid w:val="00083FA4"/>
    <w:rPr>
      <w:rFonts w:ascii="Symbol" w:hAnsi="Symbol" w:hint="default"/>
    </w:rPr>
  </w:style>
  <w:style w:type="character" w:customStyle="1" w:styleId="71">
    <w:name w:val="Основной шрифт абзаца7"/>
    <w:rsid w:val="00083FA4"/>
  </w:style>
  <w:style w:type="character" w:customStyle="1" w:styleId="WW8Num5z1">
    <w:name w:val="WW8Num5z1"/>
    <w:rsid w:val="00083FA4"/>
    <w:rPr>
      <w:rFonts w:ascii="Courier New" w:hAnsi="Courier New" w:cs="Courier New" w:hint="default"/>
    </w:rPr>
  </w:style>
  <w:style w:type="character" w:customStyle="1" w:styleId="WW8Num5z2">
    <w:name w:val="WW8Num5z2"/>
    <w:rsid w:val="00083FA4"/>
    <w:rPr>
      <w:rFonts w:ascii="Wingdings" w:hAnsi="Wingdings" w:hint="default"/>
    </w:rPr>
  </w:style>
  <w:style w:type="character" w:customStyle="1" w:styleId="WW8Num5z3">
    <w:name w:val="WW8Num5z3"/>
    <w:rsid w:val="00083FA4"/>
    <w:rPr>
      <w:rFonts w:ascii="Symbol" w:hAnsi="Symbol" w:hint="default"/>
    </w:rPr>
  </w:style>
  <w:style w:type="character" w:customStyle="1" w:styleId="61">
    <w:name w:val="Основной шрифт абзаца6"/>
    <w:rsid w:val="00083FA4"/>
  </w:style>
  <w:style w:type="character" w:customStyle="1" w:styleId="51">
    <w:name w:val="Основной шрифт абзаца5"/>
    <w:rsid w:val="00083FA4"/>
  </w:style>
  <w:style w:type="character" w:customStyle="1" w:styleId="41">
    <w:name w:val="Основной шрифт абзаца4"/>
    <w:rsid w:val="00083FA4"/>
  </w:style>
  <w:style w:type="character" w:customStyle="1" w:styleId="WW-Absatz-Standardschriftart">
    <w:name w:val="WW-Absatz-Standardschriftart"/>
    <w:rsid w:val="00083FA4"/>
  </w:style>
  <w:style w:type="character" w:customStyle="1" w:styleId="WW-Absatz-Standardschriftart1">
    <w:name w:val="WW-Absatz-Standardschriftart1"/>
    <w:rsid w:val="00083FA4"/>
  </w:style>
  <w:style w:type="character" w:customStyle="1" w:styleId="WW-Absatz-Standardschriftart11">
    <w:name w:val="WW-Absatz-Standardschriftart11"/>
    <w:rsid w:val="00083FA4"/>
  </w:style>
  <w:style w:type="character" w:customStyle="1" w:styleId="WW-Absatz-Standardschriftart111">
    <w:name w:val="WW-Absatz-Standardschriftart111"/>
    <w:rsid w:val="00083FA4"/>
  </w:style>
  <w:style w:type="character" w:customStyle="1" w:styleId="WW-Absatz-Standardschriftart1111">
    <w:name w:val="WW-Absatz-Standardschriftart1111"/>
    <w:rsid w:val="00083FA4"/>
  </w:style>
  <w:style w:type="character" w:customStyle="1" w:styleId="33">
    <w:name w:val="Основной шрифт абзаца3"/>
    <w:rsid w:val="00083FA4"/>
  </w:style>
  <w:style w:type="character" w:customStyle="1" w:styleId="WW8Num1z1">
    <w:name w:val="WW8Num1z1"/>
    <w:rsid w:val="00083FA4"/>
    <w:rPr>
      <w:rFonts w:ascii="Courier New" w:hAnsi="Courier New" w:cs="Courier New" w:hint="default"/>
    </w:rPr>
  </w:style>
  <w:style w:type="character" w:customStyle="1" w:styleId="WW8Num1z2">
    <w:name w:val="WW8Num1z2"/>
    <w:rsid w:val="00083FA4"/>
    <w:rPr>
      <w:rFonts w:ascii="Wingdings" w:hAnsi="Wingdings" w:hint="default"/>
    </w:rPr>
  </w:style>
  <w:style w:type="character" w:customStyle="1" w:styleId="23">
    <w:name w:val="Основной шрифт абзаца2"/>
    <w:rsid w:val="00083FA4"/>
  </w:style>
  <w:style w:type="character" w:customStyle="1" w:styleId="15">
    <w:name w:val="Основной шрифт абзаца1"/>
    <w:rsid w:val="00083FA4"/>
  </w:style>
  <w:style w:type="character" w:customStyle="1" w:styleId="af7">
    <w:name w:val="Маркеры списка"/>
    <w:rsid w:val="00083FA4"/>
    <w:rPr>
      <w:rFonts w:ascii="StarSymbol" w:eastAsia="StarSymbol" w:hAnsi="StarSymbol" w:cs="StarSymbol" w:hint="eastAsia"/>
      <w:sz w:val="18"/>
      <w:szCs w:val="18"/>
    </w:rPr>
  </w:style>
  <w:style w:type="paragraph" w:styleId="af8">
    <w:name w:val="Title"/>
    <w:basedOn w:val="a"/>
    <w:next w:val="a"/>
    <w:link w:val="af9"/>
    <w:qFormat/>
    <w:rsid w:val="00083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083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a">
    <w:name w:val="Table Grid"/>
    <w:basedOn w:val="a1"/>
    <w:uiPriority w:val="59"/>
    <w:rsid w:val="0008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083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083F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23"/>
    <w:semiHidden/>
    <w:rsid w:val="00F72521"/>
  </w:style>
  <w:style w:type="numbering" w:customStyle="1" w:styleId="110">
    <w:name w:val="Нет списка11"/>
    <w:next w:val="a2"/>
    <w:uiPriority w:val="99"/>
    <w:semiHidden/>
    <w:unhideWhenUsed/>
    <w:rsid w:val="00F72521"/>
  </w:style>
  <w:style w:type="table" w:customStyle="1" w:styleId="410">
    <w:name w:val="Сетка таблицы41"/>
    <w:basedOn w:val="a1"/>
    <w:next w:val="afa"/>
    <w:rsid w:val="00F725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387538"/>
    <w:rPr>
      <w:color w:val="0000FF"/>
      <w:u w:val="single"/>
    </w:rPr>
  </w:style>
  <w:style w:type="character" w:styleId="afd">
    <w:name w:val="Emphasis"/>
    <w:basedOn w:val="a0"/>
    <w:uiPriority w:val="20"/>
    <w:qFormat/>
    <w:rsid w:val="0038753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5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2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E352D"/>
  </w:style>
  <w:style w:type="numbering" w:customStyle="1" w:styleId="120">
    <w:name w:val="Нет списка12"/>
    <w:next w:val="a2"/>
    <w:uiPriority w:val="99"/>
    <w:semiHidden/>
    <w:unhideWhenUsed/>
    <w:rsid w:val="006E352D"/>
  </w:style>
  <w:style w:type="numbering" w:customStyle="1" w:styleId="111">
    <w:name w:val="Нет списка111"/>
    <w:next w:val="a2"/>
    <w:uiPriority w:val="99"/>
    <w:semiHidden/>
    <w:unhideWhenUsed/>
    <w:rsid w:val="006E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link w:val="20"/>
    <w:uiPriority w:val="9"/>
    <w:qFormat/>
    <w:rsid w:val="00E25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5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A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83FA4"/>
  </w:style>
  <w:style w:type="paragraph" w:styleId="a3">
    <w:name w:val="Normal (Web)"/>
    <w:basedOn w:val="a"/>
    <w:uiPriority w:val="99"/>
    <w:unhideWhenUsed/>
    <w:rsid w:val="00083FA4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83FA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083FA4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083FA4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a9"/>
    <w:semiHidden/>
    <w:unhideWhenUsed/>
    <w:rsid w:val="00083FA4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3FA4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unhideWhenUsed/>
    <w:rsid w:val="00083FA4"/>
    <w:rPr>
      <w:rFonts w:cs="Tahoma"/>
    </w:rPr>
  </w:style>
  <w:style w:type="paragraph" w:styleId="ab">
    <w:name w:val="Subtitle"/>
    <w:basedOn w:val="a"/>
    <w:next w:val="a"/>
    <w:link w:val="ac"/>
    <w:qFormat/>
    <w:rsid w:val="00083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083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83FA4"/>
    <w:pPr>
      <w:spacing w:after="120"/>
      <w:ind w:left="283"/>
    </w:pPr>
    <w:rPr>
      <w:rFonts w:ascii="Calibri" w:eastAsia="Calibri" w:hAnsi="Calibri" w:cs="Times New Roman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3FA4"/>
    <w:rPr>
      <w:rFonts w:ascii="Calibri" w:eastAsia="Calibri" w:hAnsi="Calibri" w:cs="Times New Roman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f1">
    <w:name w:val="No Spacing"/>
    <w:uiPriority w:val="1"/>
    <w:qFormat/>
    <w:rsid w:val="00083FA4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83F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1"/>
    <w:basedOn w:val="a"/>
    <w:next w:val="a8"/>
    <w:rsid w:val="00083FA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7">
    <w:name w:val="Название7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6">
    <w:name w:val="Название6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5">
    <w:name w:val="Название5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4">
    <w:name w:val="Название4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31">
    <w:name w:val="Название3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21">
    <w:name w:val="Название2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13">
    <w:name w:val="Название1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af3">
    <w:name w:val="Содержимое таблицы"/>
    <w:basedOn w:val="a"/>
    <w:rsid w:val="00083FA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083FA4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083FA4"/>
  </w:style>
  <w:style w:type="paragraph" w:customStyle="1" w:styleId="af6">
    <w:name w:val="Комментарий"/>
    <w:basedOn w:val="a"/>
    <w:next w:val="a"/>
    <w:uiPriority w:val="99"/>
    <w:rsid w:val="00083FA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3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083FA4"/>
    <w:rPr>
      <w:rFonts w:ascii="Symbol" w:hAnsi="Symbol" w:hint="default"/>
    </w:rPr>
  </w:style>
  <w:style w:type="character" w:customStyle="1" w:styleId="WW8Num2z0">
    <w:name w:val="WW8Num2z0"/>
    <w:rsid w:val="00083FA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83FA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083FA4"/>
    <w:rPr>
      <w:rFonts w:ascii="Times New Roman" w:hAnsi="Times New Roman" w:cs="Times New Roman" w:hint="default"/>
    </w:rPr>
  </w:style>
  <w:style w:type="character" w:customStyle="1" w:styleId="WW8Num5z0">
    <w:name w:val="WW8Num5z0"/>
    <w:rsid w:val="00083FA4"/>
    <w:rPr>
      <w:rFonts w:ascii="Times New Roman" w:eastAsia="Calibri" w:hAnsi="Times New Roman" w:cs="Times New Roman" w:hint="default"/>
    </w:rPr>
  </w:style>
  <w:style w:type="character" w:customStyle="1" w:styleId="WW8Num6z0">
    <w:name w:val="WW8Num6z0"/>
    <w:rsid w:val="00083FA4"/>
    <w:rPr>
      <w:rFonts w:ascii="Times New Roman" w:eastAsia="Calibri" w:hAnsi="Times New Roman" w:cs="Times New Roman" w:hint="default"/>
    </w:rPr>
  </w:style>
  <w:style w:type="character" w:customStyle="1" w:styleId="Absatz-Standardschriftart">
    <w:name w:val="Absatz-Standardschriftart"/>
    <w:rsid w:val="00083FA4"/>
  </w:style>
  <w:style w:type="character" w:customStyle="1" w:styleId="WW8Num6z1">
    <w:name w:val="WW8Num6z1"/>
    <w:rsid w:val="00083FA4"/>
    <w:rPr>
      <w:rFonts w:ascii="Courier New" w:hAnsi="Courier New" w:cs="Courier New" w:hint="default"/>
    </w:rPr>
  </w:style>
  <w:style w:type="character" w:customStyle="1" w:styleId="WW8Num6z2">
    <w:name w:val="WW8Num6z2"/>
    <w:rsid w:val="00083FA4"/>
    <w:rPr>
      <w:rFonts w:ascii="Wingdings" w:hAnsi="Wingdings" w:hint="default"/>
    </w:rPr>
  </w:style>
  <w:style w:type="character" w:customStyle="1" w:styleId="WW8Num6z3">
    <w:name w:val="WW8Num6z3"/>
    <w:rsid w:val="00083FA4"/>
    <w:rPr>
      <w:rFonts w:ascii="Symbol" w:hAnsi="Symbol" w:hint="default"/>
    </w:rPr>
  </w:style>
  <w:style w:type="character" w:customStyle="1" w:styleId="71">
    <w:name w:val="Основной шрифт абзаца7"/>
    <w:rsid w:val="00083FA4"/>
  </w:style>
  <w:style w:type="character" w:customStyle="1" w:styleId="WW8Num5z1">
    <w:name w:val="WW8Num5z1"/>
    <w:rsid w:val="00083FA4"/>
    <w:rPr>
      <w:rFonts w:ascii="Courier New" w:hAnsi="Courier New" w:cs="Courier New" w:hint="default"/>
    </w:rPr>
  </w:style>
  <w:style w:type="character" w:customStyle="1" w:styleId="WW8Num5z2">
    <w:name w:val="WW8Num5z2"/>
    <w:rsid w:val="00083FA4"/>
    <w:rPr>
      <w:rFonts w:ascii="Wingdings" w:hAnsi="Wingdings" w:hint="default"/>
    </w:rPr>
  </w:style>
  <w:style w:type="character" w:customStyle="1" w:styleId="WW8Num5z3">
    <w:name w:val="WW8Num5z3"/>
    <w:rsid w:val="00083FA4"/>
    <w:rPr>
      <w:rFonts w:ascii="Symbol" w:hAnsi="Symbol" w:hint="default"/>
    </w:rPr>
  </w:style>
  <w:style w:type="character" w:customStyle="1" w:styleId="61">
    <w:name w:val="Основной шрифт абзаца6"/>
    <w:rsid w:val="00083FA4"/>
  </w:style>
  <w:style w:type="character" w:customStyle="1" w:styleId="51">
    <w:name w:val="Основной шрифт абзаца5"/>
    <w:rsid w:val="00083FA4"/>
  </w:style>
  <w:style w:type="character" w:customStyle="1" w:styleId="41">
    <w:name w:val="Основной шрифт абзаца4"/>
    <w:rsid w:val="00083FA4"/>
  </w:style>
  <w:style w:type="character" w:customStyle="1" w:styleId="WW-Absatz-Standardschriftart">
    <w:name w:val="WW-Absatz-Standardschriftart"/>
    <w:rsid w:val="00083FA4"/>
  </w:style>
  <w:style w:type="character" w:customStyle="1" w:styleId="WW-Absatz-Standardschriftart1">
    <w:name w:val="WW-Absatz-Standardschriftart1"/>
    <w:rsid w:val="00083FA4"/>
  </w:style>
  <w:style w:type="character" w:customStyle="1" w:styleId="WW-Absatz-Standardschriftart11">
    <w:name w:val="WW-Absatz-Standardschriftart11"/>
    <w:rsid w:val="00083FA4"/>
  </w:style>
  <w:style w:type="character" w:customStyle="1" w:styleId="WW-Absatz-Standardschriftart111">
    <w:name w:val="WW-Absatz-Standardschriftart111"/>
    <w:rsid w:val="00083FA4"/>
  </w:style>
  <w:style w:type="character" w:customStyle="1" w:styleId="WW-Absatz-Standardschriftart1111">
    <w:name w:val="WW-Absatz-Standardschriftart1111"/>
    <w:rsid w:val="00083FA4"/>
  </w:style>
  <w:style w:type="character" w:customStyle="1" w:styleId="33">
    <w:name w:val="Основной шрифт абзаца3"/>
    <w:rsid w:val="00083FA4"/>
  </w:style>
  <w:style w:type="character" w:customStyle="1" w:styleId="WW8Num1z1">
    <w:name w:val="WW8Num1z1"/>
    <w:rsid w:val="00083FA4"/>
    <w:rPr>
      <w:rFonts w:ascii="Courier New" w:hAnsi="Courier New" w:cs="Courier New" w:hint="default"/>
    </w:rPr>
  </w:style>
  <w:style w:type="character" w:customStyle="1" w:styleId="WW8Num1z2">
    <w:name w:val="WW8Num1z2"/>
    <w:rsid w:val="00083FA4"/>
    <w:rPr>
      <w:rFonts w:ascii="Wingdings" w:hAnsi="Wingdings" w:hint="default"/>
    </w:rPr>
  </w:style>
  <w:style w:type="character" w:customStyle="1" w:styleId="23">
    <w:name w:val="Основной шрифт абзаца2"/>
    <w:rsid w:val="00083FA4"/>
  </w:style>
  <w:style w:type="character" w:customStyle="1" w:styleId="15">
    <w:name w:val="Основной шрифт абзаца1"/>
    <w:rsid w:val="00083FA4"/>
  </w:style>
  <w:style w:type="character" w:customStyle="1" w:styleId="af7">
    <w:name w:val="Маркеры списка"/>
    <w:rsid w:val="00083FA4"/>
    <w:rPr>
      <w:rFonts w:ascii="StarSymbol" w:eastAsia="StarSymbol" w:hAnsi="StarSymbol" w:cs="StarSymbol" w:hint="eastAsia"/>
      <w:sz w:val="18"/>
      <w:szCs w:val="18"/>
    </w:rPr>
  </w:style>
  <w:style w:type="paragraph" w:styleId="af8">
    <w:name w:val="Title"/>
    <w:basedOn w:val="a"/>
    <w:next w:val="a"/>
    <w:link w:val="af9"/>
    <w:qFormat/>
    <w:rsid w:val="00083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083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a">
    <w:name w:val="Table Grid"/>
    <w:basedOn w:val="a1"/>
    <w:uiPriority w:val="59"/>
    <w:rsid w:val="0008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83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rsid w:val="00083F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23"/>
    <w:semiHidden/>
    <w:rsid w:val="00F72521"/>
  </w:style>
  <w:style w:type="numbering" w:customStyle="1" w:styleId="110">
    <w:name w:val="Нет списка11"/>
    <w:next w:val="a2"/>
    <w:uiPriority w:val="99"/>
    <w:semiHidden/>
    <w:unhideWhenUsed/>
    <w:rsid w:val="00F72521"/>
  </w:style>
  <w:style w:type="table" w:customStyle="1" w:styleId="410">
    <w:name w:val="Сетка таблицы41"/>
    <w:basedOn w:val="a1"/>
    <w:next w:val="afa"/>
    <w:rsid w:val="00F725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387538"/>
    <w:rPr>
      <w:color w:val="0000FF"/>
      <w:u w:val="single"/>
    </w:rPr>
  </w:style>
  <w:style w:type="character" w:styleId="afd">
    <w:name w:val="Emphasis"/>
    <w:basedOn w:val="a0"/>
    <w:uiPriority w:val="20"/>
    <w:qFormat/>
    <w:rsid w:val="0038753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5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2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E352D"/>
  </w:style>
  <w:style w:type="numbering" w:customStyle="1" w:styleId="120">
    <w:name w:val="Нет списка12"/>
    <w:next w:val="a2"/>
    <w:uiPriority w:val="99"/>
    <w:semiHidden/>
    <w:unhideWhenUsed/>
    <w:rsid w:val="006E352D"/>
  </w:style>
  <w:style w:type="numbering" w:customStyle="1" w:styleId="111">
    <w:name w:val="Нет списка111"/>
    <w:next w:val="a2"/>
    <w:uiPriority w:val="99"/>
    <w:semiHidden/>
    <w:unhideWhenUsed/>
    <w:rsid w:val="006E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E78054071C3C4922C59C30A8AA41534372F8E5AAEDB1581EE436C4526C8F5753A24DADA449B65C543C4D2A43Y8G2P" TargetMode="External"/><Relationship Id="rId18" Type="http://schemas.openxmlformats.org/officeDocument/2006/relationships/chart" Target="charts/chart7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E78054071C3C4922C59C30A8AA41534372FBEDA9EBB1581EE436C4526C8F5753A24DADA449B65C543C4D2A43Y8G2P" TargetMode="Externa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98E78054071C3C4922C59C30A8AA41534372F8E5A9E5B1581EE436C4526C8F5753A24DADA449B65C543C4D2A43Y8G2P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</a:t>
            </a:r>
          </a:p>
        </c:rich>
      </c:tx>
      <c:layout>
        <c:manualLayout>
          <c:xMode val="edge"/>
          <c:yMode val="edge"/>
          <c:x val="0.2689523718071841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290388342605512"/>
          <c:y val="0.18445616316309194"/>
          <c:w val="0.82821668822497652"/>
          <c:h val="0.75098076043246886"/>
        </c:manualLayout>
      </c:layout>
      <c:pie3DChart>
        <c:varyColors val="1"/>
        <c:ser>
          <c:idx val="0"/>
          <c:order val="0"/>
          <c:tx>
            <c:strRef>
              <c:f>Лист1!$J$83</c:f>
              <c:strCache>
                <c:ptCount val="1"/>
                <c:pt idx="0">
                  <c:v>Фактическое исполнение бюджета по налоговым платежам 2021 года</c:v>
                </c:pt>
              </c:strCache>
            </c:strRef>
          </c:tx>
          <c:dLbls>
            <c:dLbl>
              <c:idx val="0"/>
              <c:layout>
                <c:manualLayout>
                  <c:x val="0.10992913385826772"/>
                  <c:y val="-0.105651064450277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72,4%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3162762130502617"/>
                  <c:y val="5.59755030621172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-0,01%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6.0463478650535113E-4"/>
                  <c:y val="-2.48542864726178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единый с/х налог, налог на патент, УСН
10,9%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9296619934704007E-3"/>
                  <c:y val="-8.89986729186949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 
1,6%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6.0797445246620875E-2"/>
                  <c:y val="-0.172951621788017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
8%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11681175491727648"/>
                  <c:y val="-3.97534104533232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
1,5%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0.26364373591356233"/>
                  <c:y val="-3.5947960208677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уплаты акцизов
5,7%</a:t>
                    </a:r>
                  </a:p>
                </c:rich>
              </c:tx>
              <c:dLblPos val="bestFit"/>
              <c:showCatName val="1"/>
              <c:showPercent val="1"/>
            </c:dLbl>
            <c:showCatName val="1"/>
            <c:showPercent val="1"/>
          </c:dLbls>
          <c:cat>
            <c:strRef>
              <c:f>Лист1!$K$82:$Q$82</c:f>
              <c:strCache>
                <c:ptCount val="7"/>
                <c:pt idx="0">
                  <c:v>налог на доходы </c:v>
                </c:pt>
                <c:pt idx="1">
                  <c:v>ЕНВД</c:v>
                </c:pt>
                <c:pt idx="2">
                  <c:v>единый с/х налог, налог на патент, УСН</c:v>
                </c:pt>
                <c:pt idx="3">
                  <c:v>налог на имущество физических лиц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Лист1!$K$83:$Q$83</c:f>
              <c:numCache>
                <c:formatCode>0.0</c:formatCode>
                <c:ptCount val="7"/>
                <c:pt idx="0">
                  <c:v>441433.4</c:v>
                </c:pt>
                <c:pt idx="1">
                  <c:v>8744</c:v>
                </c:pt>
                <c:pt idx="2">
                  <c:v>75897.2</c:v>
                </c:pt>
                <c:pt idx="3">
                  <c:v>8453.7999999999811</c:v>
                </c:pt>
                <c:pt idx="4">
                  <c:v>63897</c:v>
                </c:pt>
                <c:pt idx="5">
                  <c:v>7625.5</c:v>
                </c:pt>
                <c:pt idx="6" formatCode="0">
                  <c:v>38246.800000000003</c:v>
                </c:pt>
              </c:numCache>
            </c:numRef>
          </c:val>
        </c:ser>
        <c:ser>
          <c:idx val="1"/>
          <c:order val="1"/>
          <c:tx>
            <c:strRef>
              <c:f>Лист1!$J$84</c:f>
              <c:strCache>
                <c:ptCount val="1"/>
              </c:strCache>
            </c:strRef>
          </c:tx>
          <c:cat>
            <c:strRef>
              <c:f>Лист1!$K$82:$Q$82</c:f>
              <c:strCache>
                <c:ptCount val="7"/>
                <c:pt idx="0">
                  <c:v>налог на доходы </c:v>
                </c:pt>
                <c:pt idx="1">
                  <c:v>ЕНВД</c:v>
                </c:pt>
                <c:pt idx="2">
                  <c:v>единый с/х налог, налог на патент, УСН</c:v>
                </c:pt>
                <c:pt idx="3">
                  <c:v>налог на имущество физических лиц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Лист1!$K$84:$Q$84</c:f>
              <c:numCache>
                <c:formatCode>General</c:formatCode>
                <c:ptCount val="7"/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9.0412078039638452E-2"/>
          <c:y val="4.3926883026861999E-2"/>
          <c:w val="0.49337172541473961"/>
          <c:h val="0.8569567824793417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984126984126987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77-4AD5-9B32-DB5AFEC42950}"/>
                </c:ext>
              </c:extLst>
            </c:dLbl>
            <c:dLbl>
              <c:idx val="1"/>
              <c:layout>
                <c:manualLayout>
                  <c:x val="1.1554015020219527E-2"/>
                  <c:y val="-1.58969446326627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77-4AD5-9B32-DB5AFEC429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 formatCode="General">
                  <c:v>8632.2999999999847</c:v>
                </c:pt>
                <c:pt idx="1">
                  <c:v>10192.5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77-4AD5-9B32-DB5AFEC429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77-4AD5-9B32-DB5AFEC42950}"/>
                </c:ext>
              </c:extLst>
            </c:dLbl>
            <c:dLbl>
              <c:idx val="1"/>
              <c:layout>
                <c:manualLayout>
                  <c:x val="-4.6216060080878528E-3"/>
                  <c:y val="1.186943620178043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 formatCode="General">
                  <c:v>52653.1</c:v>
                </c:pt>
                <c:pt idx="1">
                  <c:v>46160.800000000003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77-4AD5-9B32-DB5AFEC429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dLbls>
            <c:dLbl>
              <c:idx val="0"/>
              <c:layout>
                <c:manualLayout>
                  <c:x val="3.6972848064702496E-2"/>
                  <c:y val="-3.95647873392680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77-4AD5-9B32-DB5AFEC42950}"/>
                </c:ext>
              </c:extLst>
            </c:dLbl>
            <c:dLbl>
              <c:idx val="1"/>
              <c:layout>
                <c:manualLayout>
                  <c:x val="7.1727143292530368E-2"/>
                  <c:y val="3.921275419207577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77-4AD5-9B32-DB5AFEC429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#,##0.00</c:formatCode>
                <c:ptCount val="2"/>
                <c:pt idx="0" formatCode="General">
                  <c:v>40220.5</c:v>
                </c:pt>
                <c:pt idx="1">
                  <c:v>38126.5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677-4AD5-9B32-DB5AFEC429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социальной политики</c:v>
                </c:pt>
              </c:strCache>
            </c:strRef>
          </c:tx>
          <c:dLbls>
            <c:dLbl>
              <c:idx val="1"/>
              <c:layout>
                <c:manualLayout>
                  <c:x val="4.8526863084921996E-2"/>
                  <c:y val="-1.1869436201780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77-4AD5-9B32-DB5AFEC429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Лист1!$E$2:$E$3</c:f>
              <c:numCache>
                <c:formatCode>#,##0.00</c:formatCode>
                <c:ptCount val="2"/>
                <c:pt idx="0" formatCode="General">
                  <c:v>6821.8</c:v>
                </c:pt>
                <c:pt idx="1">
                  <c:v>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677-4AD5-9B32-DB5AFEC42950}"/>
            </c:ext>
          </c:extLst>
        </c:ser>
        <c:dLbls>
          <c:showVal val="1"/>
        </c:dLbls>
        <c:shape val="box"/>
        <c:axId val="76702848"/>
        <c:axId val="76704384"/>
        <c:axId val="76366720"/>
      </c:bar3DChart>
      <c:catAx>
        <c:axId val="76702848"/>
        <c:scaling>
          <c:orientation val="minMax"/>
        </c:scaling>
        <c:axPos val="b"/>
        <c:numFmt formatCode="General" sourceLinked="0"/>
        <c:tickLblPos val="nextTo"/>
        <c:crossAx val="76704384"/>
        <c:crosses val="autoZero"/>
        <c:auto val="1"/>
        <c:lblAlgn val="ctr"/>
        <c:lblOffset val="100"/>
      </c:catAx>
      <c:valAx>
        <c:axId val="76704384"/>
        <c:scaling>
          <c:orientation val="minMax"/>
        </c:scaling>
        <c:axPos val="l"/>
        <c:majorGridlines/>
        <c:numFmt formatCode="General" sourceLinked="1"/>
        <c:tickLblPos val="nextTo"/>
        <c:crossAx val="76702848"/>
        <c:crosses val="autoZero"/>
        <c:crossBetween val="between"/>
      </c:valAx>
      <c:serAx>
        <c:axId val="76366720"/>
        <c:scaling>
          <c:orientation val="minMax"/>
        </c:scaling>
        <c:axPos val="b"/>
        <c:tickLblPos val="nextTo"/>
        <c:crossAx val="76704384"/>
        <c:crosses val="autoZero"/>
      </c:ser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городского бюджета</a:t>
            </a:r>
          </a:p>
        </c:rich>
      </c:tx>
      <c:layout>
        <c:manualLayout>
          <c:xMode val="edge"/>
          <c:yMode val="edge"/>
          <c:x val="0.29020979020979032"/>
          <c:y val="4.1284403669724766E-2"/>
        </c:manualLayout>
      </c:layout>
    </c:title>
    <c:view3D>
      <c:perspective val="0"/>
    </c:view3D>
    <c:plotArea>
      <c:layout>
        <c:manualLayout>
          <c:layoutTarget val="inner"/>
          <c:xMode val="edge"/>
          <c:yMode val="edge"/>
          <c:x val="0.3951048951048991"/>
          <c:y val="0.23853211009174324"/>
          <c:w val="0.21153846153846301"/>
          <c:h val="0.2201834862385321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3198428867720424E-2"/>
                  <c:y val="2.88275662789857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 доходы города
34,9%</a:t>
                    </a:r>
                  </a:p>
                </c:rich>
              </c:tx>
              <c:dLblPos val="bestFit"/>
            </c:dLbl>
            <c:dLbl>
              <c:idx val="1"/>
              <c:delete val="1"/>
            </c:dLbl>
            <c:dLbl>
              <c:idx val="2"/>
              <c:layout>
                <c:manualLayout>
                  <c:x val="-6.8783657287594321E-2"/>
                  <c:y val="0.202678610127862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и безвозвратные поступления 
65,1%</a:t>
                    </a:r>
                  </a:p>
                </c:rich>
              </c:tx>
              <c:dLblPos val="bestFit"/>
            </c:dLbl>
            <c:numFmt formatCode="0%" sourceLinked="0"/>
            <c:showCatName val="1"/>
            <c:showPercent val="1"/>
            <c:showLeaderLines val="1"/>
          </c:dLbls>
          <c:cat>
            <c:strRef>
              <c:f>Лист1!$E$18:$G$18</c:f>
              <c:strCache>
                <c:ptCount val="3"/>
                <c:pt idx="0">
                  <c:v>Налоговые и неналоговые  доходы города</c:v>
                </c:pt>
                <c:pt idx="2">
                  <c:v>Безвозмездные и безвозвратные поступления </c:v>
                </c:pt>
              </c:strCache>
            </c:strRef>
          </c:cat>
          <c:val>
            <c:numRef>
              <c:f>Лист1!$E$19:$G$19</c:f>
              <c:numCache>
                <c:formatCode>General</c:formatCode>
                <c:ptCount val="3"/>
                <c:pt idx="0">
                  <c:v>798451.19999999611</c:v>
                </c:pt>
                <c:pt idx="2">
                  <c:v>1319981.8</c:v>
                </c:pt>
              </c:numCache>
            </c:numRef>
          </c:val>
        </c:ser>
      </c:pie3DChart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8356643356643598"/>
          <c:y val="0.72935779816513768"/>
          <c:w val="0.5297202797202798"/>
          <c:h val="0.24311926605504591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изменения доходов</a:t>
            </a:r>
          </a:p>
        </c:rich>
      </c:tx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НДФЛ </c:v>
                </c:pt>
                <c:pt idx="1">
                  <c:v>ЕНВД</c:v>
                </c:pt>
                <c:pt idx="2">
                  <c:v>единый с/х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акцизы</c:v>
                </c:pt>
                <c:pt idx="7">
                  <c:v> налог взимаемый в связи с применением патентной системы,УСН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 formatCode="General">
                  <c:v>441433.4</c:v>
                </c:pt>
                <c:pt idx="1">
                  <c:v>8744</c:v>
                </c:pt>
                <c:pt idx="2" formatCode="General">
                  <c:v>55164.3</c:v>
                </c:pt>
                <c:pt idx="3" formatCode="General">
                  <c:v>8453.7999999999811</c:v>
                </c:pt>
                <c:pt idx="4" formatCode="General">
                  <c:v>63897</c:v>
                </c:pt>
                <c:pt idx="5" formatCode="General">
                  <c:v>7625.5</c:v>
                </c:pt>
                <c:pt idx="6">
                  <c:v>42043.1</c:v>
                </c:pt>
                <c:pt idx="7">
                  <c:v>20732.900000000001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исполнения бюджета 2022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НДФЛ </c:v>
                </c:pt>
                <c:pt idx="1">
                  <c:v>ЕНВД</c:v>
                </c:pt>
                <c:pt idx="2">
                  <c:v>единый с/х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акцизы</c:v>
                </c:pt>
                <c:pt idx="7">
                  <c:v> налог взимаемый в связи с применением патентной системы,УСН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500981.5</c:v>
                </c:pt>
                <c:pt idx="1">
                  <c:v>-619.29999999999995</c:v>
                </c:pt>
                <c:pt idx="2">
                  <c:v>49354.9</c:v>
                </c:pt>
                <c:pt idx="3">
                  <c:v>10805.4</c:v>
                </c:pt>
                <c:pt idx="4">
                  <c:v>55483.199999999997</c:v>
                </c:pt>
                <c:pt idx="5">
                  <c:v>10415.5</c:v>
                </c:pt>
                <c:pt idx="6" formatCode="General">
                  <c:v>39439.300000000003</c:v>
                </c:pt>
                <c:pt idx="7" formatCode="General">
                  <c:v>26364.5</c:v>
                </c:pt>
              </c:numCache>
            </c:numRef>
          </c:val>
        </c:ser>
        <c:dLbls>
          <c:showVal val="1"/>
        </c:dLbls>
        <c:shape val="cylinder"/>
        <c:axId val="76206464"/>
        <c:axId val="76208000"/>
        <c:axId val="0"/>
      </c:bar3DChart>
      <c:catAx>
        <c:axId val="76206464"/>
        <c:scaling>
          <c:orientation val="minMax"/>
        </c:scaling>
        <c:axPos val="b"/>
        <c:numFmt formatCode="General" sourceLinked="1"/>
        <c:majorTickMark val="none"/>
        <c:tickLblPos val="nextTo"/>
        <c:crossAx val="76208000"/>
        <c:crosses val="autoZero"/>
        <c:auto val="1"/>
        <c:lblAlgn val="ctr"/>
        <c:lblOffset val="100"/>
      </c:catAx>
      <c:valAx>
        <c:axId val="7620800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7620646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арендная плата за земельные участки, расположенные на территории городского округа </c:v>
                </c:pt>
                <c:pt idx="1">
                  <c:v>доходы, от сдачи в аренду имущества и прочие поступления от использования имущества  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штрафы, санкции</c:v>
                </c:pt>
                <c:pt idx="4">
                  <c:v>платежи при пользовании природными ресурсами</c:v>
                </c:pt>
                <c:pt idx="5">
                  <c:v>перечисление части прибыли муниципальных унитарных </c:v>
                </c:pt>
                <c:pt idx="6">
                  <c:v>доходы от продажи материальных и нематериальных активов</c:v>
                </c:pt>
                <c:pt idx="7">
                  <c:v>прочие неналоговые поступления 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0.60700000000000065</c:v>
                </c:pt>
                <c:pt idx="1">
                  <c:v>0.18200000000000024</c:v>
                </c:pt>
                <c:pt idx="2">
                  <c:v>5.3999999999999999E-2</c:v>
                </c:pt>
                <c:pt idx="3">
                  <c:v>7.7600000000000002E-2</c:v>
                </c:pt>
                <c:pt idx="4">
                  <c:v>1.6000000000000021E-2</c:v>
                </c:pt>
                <c:pt idx="5">
                  <c:v>9.0000000000000028E-3</c:v>
                </c:pt>
                <c:pt idx="6">
                  <c:v>5.3999999999999999E-2</c:v>
                </c:pt>
                <c:pt idx="7">
                  <c:v>4.0000000000000034E-4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433797418921254"/>
          <c:y val="8.3746684564253743E-2"/>
          <c:w val="0.37182119536096397"/>
          <c:h val="0.87407405357283341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4258967629046482E-2"/>
          <c:y val="0.21157279921015457"/>
          <c:w val="0.53580353618588494"/>
          <c:h val="0.753080445949842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10.200000000000001</c:v>
                </c:pt>
                <c:pt idx="1">
                  <c:v>0.4</c:v>
                </c:pt>
                <c:pt idx="2">
                  <c:v>12.3</c:v>
                </c:pt>
                <c:pt idx="3">
                  <c:v>7.1</c:v>
                </c:pt>
                <c:pt idx="4">
                  <c:v>59.2</c:v>
                </c:pt>
                <c:pt idx="5">
                  <c:v>4.0999999999999996</c:v>
                </c:pt>
                <c:pt idx="6">
                  <c:v>4.2</c:v>
                </c:pt>
                <c:pt idx="7">
                  <c:v>2.1</c:v>
                </c:pt>
                <c:pt idx="8">
                  <c:v>0.1</c:v>
                </c:pt>
                <c:pt idx="9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61-47D1-B11A-0C24C2CCD231}"/>
            </c:ext>
          </c:extLst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Функционирование высшего должностного лица  субъекта РФ и муниципальных образований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 </c:v>
                </c:pt>
                <c:pt idx="1">
                  <c:v>2022 год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1256.0999999999999</c:v>
                </c:pt>
                <c:pt idx="1">
                  <c:v>1906.5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7F-49E4-AEEB-659BCE5354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 </c:v>
                </c:pt>
                <c:pt idx="1">
                  <c:v>2022 год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1900.4</c:v>
                </c:pt>
                <c:pt idx="1">
                  <c:v>2100.5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7F-49E4-AEEB-659BCE5354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Функционирование Правительства РФ, высших органовгосударственной власти субъектов РФ, местных администраций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058319039451115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 </c:v>
                </c:pt>
                <c:pt idx="1">
                  <c:v>2022 год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58660.9</c:v>
                </c:pt>
                <c:pt idx="1">
                  <c:v>61862.1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7F-49E4-AEEB-659BCE5354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Обеспечение деятельности финансовых, налоговых и таможенных органов и органов финансового (финансово-бюджетного) надзора</c:v>
                </c:pt>
              </c:strCache>
            </c:strRef>
          </c:tx>
          <c:dLbls>
            <c:dLbl>
              <c:idx val="0"/>
              <c:layout>
                <c:manualLayout>
                  <c:x val="1.4981273408239701E-2"/>
                  <c:y val="-4.5740423098913794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 </c:v>
                </c:pt>
                <c:pt idx="1">
                  <c:v>2022 год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9674</c:v>
                </c:pt>
                <c:pt idx="1">
                  <c:v>11184.4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7F-49E4-AEEB-659BCE53545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общегосударственные вопросы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 </c:v>
                </c:pt>
                <c:pt idx="1">
                  <c:v>2022 год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144346.70000000001</c:v>
                </c:pt>
                <c:pt idx="1">
                  <c:v>160792.29999999999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7F-49E4-AEEB-659BCE53545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Судебная система</c:v>
                </c:pt>
              </c:strCache>
            </c:strRef>
          </c:tx>
          <c:dLbls>
            <c:dLbl>
              <c:idx val="0"/>
              <c:layout>
                <c:manualLayout>
                  <c:x val="2.1401819154628209E-2"/>
                  <c:y val="-4.116638078902230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2021 год </c:v>
                </c:pt>
                <c:pt idx="1">
                  <c:v>2022 год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156</c:v>
                </c:pt>
                <c:pt idx="1">
                  <c:v>690.8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Обеспечение проведения выборов и референдумов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515723270440255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2021 год </c:v>
                </c:pt>
                <c:pt idx="1">
                  <c:v>2022 год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</c:v>
                </c:pt>
                <c:pt idx="1">
                  <c:v>7704.8</c:v>
                </c:pt>
              </c:numCache>
            </c:numRef>
          </c:val>
        </c:ser>
        <c:dLbls>
          <c:showVal val="1"/>
        </c:dLbls>
        <c:shape val="box"/>
        <c:axId val="76089600"/>
        <c:axId val="76120064"/>
        <c:axId val="75724992"/>
      </c:bar3DChart>
      <c:catAx>
        <c:axId val="76089600"/>
        <c:scaling>
          <c:orientation val="minMax"/>
        </c:scaling>
        <c:axPos val="b"/>
        <c:numFmt formatCode="General" sourceLinked="0"/>
        <c:tickLblPos val="nextTo"/>
        <c:crossAx val="76120064"/>
        <c:crosses val="autoZero"/>
        <c:auto val="1"/>
        <c:lblAlgn val="ctr"/>
        <c:lblOffset val="100"/>
      </c:catAx>
      <c:valAx>
        <c:axId val="76120064"/>
        <c:scaling>
          <c:orientation val="minMax"/>
        </c:scaling>
        <c:axPos val="l"/>
        <c:majorGridlines/>
        <c:numFmt formatCode="General" sourceLinked="1"/>
        <c:tickLblPos val="nextTo"/>
        <c:crossAx val="76089600"/>
        <c:crosses val="autoZero"/>
        <c:crossBetween val="between"/>
      </c:valAx>
      <c:serAx>
        <c:axId val="75724992"/>
        <c:scaling>
          <c:orientation val="minMax"/>
        </c:scaling>
        <c:delete val="1"/>
        <c:axPos val="b"/>
        <c:tickLblPos val="nextTo"/>
        <c:crossAx val="76120064"/>
        <c:crosses val="autoZero"/>
      </c:serAx>
    </c:plotArea>
    <c:legend>
      <c:legendPos val="r"/>
      <c:layout>
        <c:manualLayout>
          <c:xMode val="edge"/>
          <c:yMode val="edge"/>
          <c:x val="0.61526438408682049"/>
          <c:y val="7.3556542996447899E-2"/>
          <c:w val="0.38419366118561094"/>
          <c:h val="0.92644345700355313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Гражданская оборона</c:v>
                </c:pt>
              </c:strCache>
            </c:strRef>
          </c:tx>
          <c:dLbls>
            <c:dLbl>
              <c:idx val="0"/>
              <c:layout>
                <c:manualLayout>
                  <c:x val="2.3108030040439047E-3"/>
                  <c:y val="-1.6877637130801686E-2"/>
                </c:manualLayout>
              </c:layout>
              <c:showVal val="1"/>
            </c:dLbl>
            <c:dLbl>
              <c:idx val="1"/>
              <c:layout>
                <c:manualLayout>
                  <c:x val="-4.2364232345578156E-17"/>
                  <c:y val="-2.953586497890288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143</c:v>
                </c:pt>
                <c:pt idx="1">
                  <c:v>250.4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81-4F0B-9B46-7171657B0E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dLbls>
            <c:dLbl>
              <c:idx val="1"/>
              <c:layout>
                <c:manualLayout>
                  <c:x val="4.1594454072790304E-2"/>
                  <c:y val="-3.956478733926805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2820.2</c:v>
                </c:pt>
                <c:pt idx="1">
                  <c:v>3535.6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81-4F0B-9B46-7171657B0E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вопросы в области национальной безопасности и правоохранительной деятельности</c:v>
                </c:pt>
              </c:strCache>
            </c:strRef>
          </c:tx>
          <c:dLbls>
            <c:dLbl>
              <c:idx val="0"/>
              <c:layout>
                <c:manualLayout>
                  <c:x val="4.852686308492199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5683.5</c:v>
                </c:pt>
                <c:pt idx="1">
                  <c:v>6297</c:v>
                </c:pt>
              </c:numCache>
            </c:numRef>
          </c:val>
        </c:ser>
        <c:dLbls>
          <c:showVal val="1"/>
        </c:dLbls>
        <c:shape val="box"/>
        <c:axId val="76438912"/>
        <c:axId val="76440704"/>
        <c:axId val="76129600"/>
      </c:bar3DChart>
      <c:catAx>
        <c:axId val="76438912"/>
        <c:scaling>
          <c:orientation val="minMax"/>
        </c:scaling>
        <c:axPos val="b"/>
        <c:numFmt formatCode="General" sourceLinked="0"/>
        <c:tickLblPos val="nextTo"/>
        <c:crossAx val="76440704"/>
        <c:crosses val="autoZero"/>
        <c:auto val="1"/>
        <c:lblAlgn val="ctr"/>
        <c:lblOffset val="100"/>
      </c:catAx>
      <c:valAx>
        <c:axId val="76440704"/>
        <c:scaling>
          <c:orientation val="minMax"/>
        </c:scaling>
        <c:axPos val="l"/>
        <c:majorGridlines/>
        <c:numFmt formatCode="General" sourceLinked="1"/>
        <c:tickLblPos val="nextTo"/>
        <c:crossAx val="76438912"/>
        <c:crosses val="autoZero"/>
        <c:crossBetween val="between"/>
      </c:valAx>
      <c:serAx>
        <c:axId val="76129600"/>
        <c:scaling>
          <c:orientation val="minMax"/>
        </c:scaling>
        <c:delete val="1"/>
        <c:axPos val="b"/>
        <c:tickLblPos val="nextTo"/>
        <c:crossAx val="76440704"/>
        <c:crosses val="autoZero"/>
      </c:ser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604651162790701E-2"/>
                </c:manualLayout>
              </c:layout>
              <c:showVal val="1"/>
            </c:dLbl>
            <c:dLbl>
              <c:idx val="1"/>
              <c:layout>
                <c:manualLayout>
                  <c:x val="-2.4444444444444446E-2"/>
                  <c:y val="-1.860465116279070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1605.8</c:v>
                </c:pt>
                <c:pt idx="1">
                  <c:v>5687.7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07-4822-82B5-639902BA84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dLbl>
              <c:idx val="1"/>
              <c:layout>
                <c:manualLayout>
                  <c:x val="2.2222222222222355E-2"/>
                  <c:y val="-9.30232558139535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07-4822-82B5-639902BA842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20278.099999999969</c:v>
                </c:pt>
                <c:pt idx="1">
                  <c:v>23099.3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07-4822-82B5-639902BA84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126921</c:v>
                </c:pt>
                <c:pt idx="1">
                  <c:v>132736.70000000001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07-4822-82B5-639902BA84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 вопросы в области жилищно-коммунального хозяйства</c:v>
                </c:pt>
              </c:strCache>
            </c:strRef>
          </c:tx>
          <c:dLbls>
            <c:dLbl>
              <c:idx val="0"/>
              <c:layout>
                <c:manualLayout>
                  <c:x val="4.0000000000000022E-2"/>
                  <c:y val="-3.720930232558145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07-4822-82B5-639902BA8424}"/>
                </c:ext>
              </c:extLst>
            </c:dLbl>
            <c:dLbl>
              <c:idx val="1"/>
              <c:layout>
                <c:manualLayout>
                  <c:x val="4.6666666666666752E-2"/>
                  <c:y val="-9.30232558139535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07-4822-82B5-639902BA842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9388.2000000000007</c:v>
                </c:pt>
                <c:pt idx="1">
                  <c:v>10359.200000000004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107-4822-82B5-639902BA8424}"/>
            </c:ext>
          </c:extLst>
        </c:ser>
        <c:dLbls>
          <c:showVal val="1"/>
        </c:dLbls>
        <c:shape val="box"/>
        <c:axId val="76257152"/>
        <c:axId val="76258688"/>
        <c:axId val="76131392"/>
      </c:bar3DChart>
      <c:catAx>
        <c:axId val="76257152"/>
        <c:scaling>
          <c:orientation val="minMax"/>
        </c:scaling>
        <c:axPos val="b"/>
        <c:numFmt formatCode="General" sourceLinked="0"/>
        <c:tickLblPos val="nextTo"/>
        <c:crossAx val="76258688"/>
        <c:crosses val="autoZero"/>
        <c:auto val="1"/>
        <c:lblAlgn val="ctr"/>
        <c:lblOffset val="100"/>
      </c:catAx>
      <c:valAx>
        <c:axId val="76258688"/>
        <c:scaling>
          <c:orientation val="minMax"/>
        </c:scaling>
        <c:axPos val="l"/>
        <c:majorGridlines/>
        <c:numFmt formatCode="General" sourceLinked="1"/>
        <c:tickLblPos val="nextTo"/>
        <c:crossAx val="76257152"/>
        <c:crosses val="autoZero"/>
        <c:crossBetween val="between"/>
      </c:valAx>
      <c:serAx>
        <c:axId val="76131392"/>
        <c:scaling>
          <c:orientation val="minMax"/>
        </c:scaling>
        <c:delete val="1"/>
        <c:axPos val="b"/>
        <c:tickLblPos val="nextTo"/>
        <c:crossAx val="76258688"/>
        <c:crosses val="autoZero"/>
      </c:serAx>
      <c:dTable>
        <c:showHorzBorder val="1"/>
        <c:showVertBorder val="1"/>
        <c:showOutline val="1"/>
      </c:dTable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 formatCode="General">
                  <c:v>536053.80000000005</c:v>
                </c:pt>
                <c:pt idx="1">
                  <c:v>365497.3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образование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 formatCode="General">
                  <c:v>722966.2</c:v>
                </c:pt>
                <c:pt idx="1">
                  <c:v>967541.1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Дополнительное образование детей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Лист1!$D$2:$D$3</c:f>
              <c:numCache>
                <c:formatCode>#,##0.00</c:formatCode>
                <c:ptCount val="2"/>
                <c:pt idx="0" formatCode="General">
                  <c:v>61886.3</c:v>
                </c:pt>
                <c:pt idx="1">
                  <c:v>59471.1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Профессиональная подготовка, переподготовка и повышение квалификации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207.8</c:v>
                </c:pt>
                <c:pt idx="1">
                  <c:v>12.6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Молодежная политика</c:v>
                </c:pt>
              </c:strCache>
            </c:strRef>
          </c:tx>
          <c:dLbls>
            <c:dLbl>
              <c:idx val="0"/>
              <c:layout>
                <c:manualLayout>
                  <c:x val="3.2407407407407468E-2"/>
                  <c:y val="-1.0389610389610391E-2"/>
                </c:manualLayout>
              </c:layout>
              <c:showVal val="1"/>
            </c:dLbl>
            <c:dLbl>
              <c:idx val="1"/>
              <c:layout>
                <c:manualLayout>
                  <c:x val="3.7037037037037056E-2"/>
                  <c:y val="-1.731601731601732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Лист1!$F$2:$F$3</c:f>
              <c:numCache>
                <c:formatCode>#,##0.00</c:formatCode>
                <c:ptCount val="2"/>
                <c:pt idx="0" formatCode="General">
                  <c:v>25798.9</c:v>
                </c:pt>
                <c:pt idx="1">
                  <c:v>31089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Другие вопросы в области образования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1.0389610389610391E-2"/>
                </c:manualLayout>
              </c:layout>
              <c:showVal val="1"/>
            </c:dLbl>
            <c:dLbl>
              <c:idx val="1"/>
              <c:layout>
                <c:manualLayout>
                  <c:x val="2.777777777777786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</c:v>
                </c:pt>
                <c:pt idx="1">
                  <c:v>784.9</c:v>
                </c:pt>
              </c:numCache>
            </c:numRef>
          </c:val>
        </c:ser>
        <c:dLbls>
          <c:showVal val="1"/>
        </c:dLbls>
        <c:shape val="box"/>
        <c:axId val="76369920"/>
        <c:axId val="76371456"/>
        <c:axId val="0"/>
      </c:bar3DChart>
      <c:catAx>
        <c:axId val="76369920"/>
        <c:scaling>
          <c:orientation val="minMax"/>
        </c:scaling>
        <c:axPos val="b"/>
        <c:tickLblPos val="nextTo"/>
        <c:crossAx val="76371456"/>
        <c:crosses val="autoZero"/>
        <c:auto val="1"/>
        <c:lblAlgn val="ctr"/>
        <c:lblOffset val="100"/>
      </c:catAx>
      <c:valAx>
        <c:axId val="76371456"/>
        <c:scaling>
          <c:orientation val="minMax"/>
        </c:scaling>
        <c:axPos val="l"/>
        <c:majorGridlines/>
        <c:numFmt formatCode="General" sourceLinked="1"/>
        <c:tickLblPos val="nextTo"/>
        <c:crossAx val="763699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65D0-4155-4381-B3B6-21F7D5B4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50</Pages>
  <Words>18078</Words>
  <Characters>103045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25</cp:revision>
  <cp:lastPrinted>2023-04-28T08:22:00Z</cp:lastPrinted>
  <dcterms:created xsi:type="dcterms:W3CDTF">2023-04-03T13:38:00Z</dcterms:created>
  <dcterms:modified xsi:type="dcterms:W3CDTF">2023-07-03T07:31:00Z</dcterms:modified>
</cp:coreProperties>
</file>